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B244" w14:textId="1F533AA9" w:rsidR="00A30022" w:rsidRDefault="00A30022" w:rsidP="436E4858">
      <w:pPr>
        <w:pStyle w:val="Heading1"/>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339D91CE" wp14:editId="23C70C88">
            <wp:simplePos x="0" y="0"/>
            <wp:positionH relativeFrom="column">
              <wp:posOffset>-475615</wp:posOffset>
            </wp:positionH>
            <wp:positionV relativeFrom="paragraph">
              <wp:posOffset>-391795</wp:posOffset>
            </wp:positionV>
            <wp:extent cx="1727200" cy="850313"/>
            <wp:effectExtent l="0" t="0" r="6350" b="6985"/>
            <wp:wrapNone/>
            <wp:docPr id="1850278547" name="Picture 1" descr="A black and blue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78547" name="Picture 1" descr="A black and blue text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200" cy="850313"/>
                    </a:xfrm>
                    <a:prstGeom prst="rect">
                      <a:avLst/>
                    </a:prstGeom>
                  </pic:spPr>
                </pic:pic>
              </a:graphicData>
            </a:graphic>
            <wp14:sizeRelH relativeFrom="page">
              <wp14:pctWidth>0</wp14:pctWidth>
            </wp14:sizeRelH>
            <wp14:sizeRelV relativeFrom="page">
              <wp14:pctHeight>0</wp14:pctHeight>
            </wp14:sizeRelV>
          </wp:anchor>
        </w:drawing>
      </w:r>
    </w:p>
    <w:p w14:paraId="1C6F9102" w14:textId="77777777" w:rsidR="00A30022" w:rsidRDefault="00A30022" w:rsidP="00A30022"/>
    <w:p w14:paraId="2D690A66" w14:textId="68CF2712" w:rsidR="005F7460" w:rsidRPr="00BE727D" w:rsidRDefault="4DC38BA6" w:rsidP="005F7460">
      <w:pPr>
        <w:jc w:val="center"/>
        <w:rPr>
          <w:rFonts w:cstheme="minorHAnsi"/>
          <w:b/>
          <w:bCs/>
          <w:color w:val="44546A" w:themeColor="text2"/>
          <w:sz w:val="28"/>
        </w:rPr>
      </w:pPr>
      <w:r w:rsidRPr="00BE727D">
        <w:rPr>
          <w:rFonts w:cstheme="minorHAnsi"/>
          <w:b/>
          <w:bCs/>
          <w:color w:val="44546A" w:themeColor="text2"/>
          <w:sz w:val="28"/>
        </w:rPr>
        <w:t>G</w:t>
      </w:r>
      <w:r w:rsidR="260F360D" w:rsidRPr="00BE727D">
        <w:rPr>
          <w:rFonts w:cstheme="minorHAnsi"/>
          <w:b/>
          <w:bCs/>
          <w:color w:val="44546A" w:themeColor="text2"/>
          <w:sz w:val="28"/>
        </w:rPr>
        <w:t>uidance</w:t>
      </w:r>
      <w:r w:rsidR="133752B3" w:rsidRPr="00BE727D">
        <w:rPr>
          <w:rFonts w:cstheme="minorHAnsi"/>
          <w:b/>
          <w:bCs/>
          <w:color w:val="44546A" w:themeColor="text2"/>
          <w:sz w:val="28"/>
        </w:rPr>
        <w:t xml:space="preserve"> for </w:t>
      </w:r>
      <w:r w:rsidR="00A30022" w:rsidRPr="00BE727D">
        <w:rPr>
          <w:rFonts w:cstheme="minorHAnsi"/>
          <w:b/>
          <w:bCs/>
          <w:color w:val="44546A" w:themeColor="text2"/>
          <w:sz w:val="28"/>
        </w:rPr>
        <w:t>P4G</w:t>
      </w:r>
      <w:r w:rsidR="133752B3" w:rsidRPr="00BE727D">
        <w:rPr>
          <w:rFonts w:cstheme="minorHAnsi"/>
          <w:b/>
          <w:bCs/>
          <w:color w:val="44546A" w:themeColor="text2"/>
          <w:sz w:val="28"/>
        </w:rPr>
        <w:t xml:space="preserve"> </w:t>
      </w:r>
      <w:r w:rsidR="00A30022" w:rsidRPr="00BE727D">
        <w:rPr>
          <w:rFonts w:cstheme="minorHAnsi"/>
          <w:b/>
          <w:bCs/>
          <w:color w:val="44546A" w:themeColor="text2"/>
          <w:sz w:val="28"/>
        </w:rPr>
        <w:t>K</w:t>
      </w:r>
      <w:r w:rsidR="133752B3" w:rsidRPr="00BE727D">
        <w:rPr>
          <w:rFonts w:cstheme="minorHAnsi"/>
          <w:b/>
          <w:bCs/>
          <w:color w:val="44546A" w:themeColor="text2"/>
          <w:sz w:val="28"/>
        </w:rPr>
        <w:t xml:space="preserve">nowledge </w:t>
      </w:r>
      <w:r w:rsidR="00A30022" w:rsidRPr="00BE727D">
        <w:rPr>
          <w:rFonts w:cstheme="minorHAnsi"/>
          <w:b/>
          <w:bCs/>
          <w:color w:val="44546A" w:themeColor="text2"/>
          <w:sz w:val="28"/>
        </w:rPr>
        <w:t>P</w:t>
      </w:r>
      <w:r w:rsidR="133752B3" w:rsidRPr="00BE727D">
        <w:rPr>
          <w:rFonts w:cstheme="minorHAnsi"/>
          <w:b/>
          <w:bCs/>
          <w:color w:val="44546A" w:themeColor="text2"/>
          <w:sz w:val="28"/>
        </w:rPr>
        <w:t>roducts</w:t>
      </w:r>
      <w:r w:rsidR="00AB4CA2">
        <w:rPr>
          <w:rStyle w:val="FootnoteReference"/>
          <w:rFonts w:cstheme="minorHAnsi"/>
          <w:b/>
          <w:bCs/>
          <w:color w:val="44546A" w:themeColor="text2"/>
          <w:sz w:val="28"/>
        </w:rPr>
        <w:footnoteReference w:id="2"/>
      </w:r>
    </w:p>
    <w:p w14:paraId="0DFDDE0D" w14:textId="3CBE9DE7" w:rsidR="005A4993" w:rsidRPr="00BE727D" w:rsidRDefault="005F7460" w:rsidP="008C2872">
      <w:pPr>
        <w:jc w:val="both"/>
        <w:rPr>
          <w:rFonts w:cstheme="minorHAnsi"/>
        </w:rPr>
      </w:pPr>
      <w:r w:rsidRPr="00BE727D">
        <w:rPr>
          <w:rFonts w:cstheme="minorHAnsi"/>
        </w:rPr>
        <w:t xml:space="preserve">Knowledge products are key to </w:t>
      </w:r>
      <w:r w:rsidR="001272C9" w:rsidRPr="00BE727D">
        <w:rPr>
          <w:rFonts w:cstheme="minorHAnsi"/>
        </w:rPr>
        <w:t>sharing and understanding the</w:t>
      </w:r>
      <w:r w:rsidRPr="00BE727D">
        <w:rPr>
          <w:rFonts w:cstheme="minorHAnsi"/>
        </w:rPr>
        <w:t xml:space="preserve"> impact data shared by partnerships in compliance with </w:t>
      </w:r>
      <w:r w:rsidR="004706AD">
        <w:rPr>
          <w:rFonts w:cstheme="minorHAnsi"/>
        </w:rPr>
        <w:t xml:space="preserve">their </w:t>
      </w:r>
      <w:r w:rsidRPr="00BE727D">
        <w:rPr>
          <w:rFonts w:cstheme="minorHAnsi"/>
        </w:rPr>
        <w:t>M</w:t>
      </w:r>
      <w:r w:rsidR="001272C9" w:rsidRPr="00BE727D">
        <w:rPr>
          <w:rFonts w:cstheme="minorHAnsi"/>
        </w:rPr>
        <w:t xml:space="preserve">onitoring, Evaluation and Learning </w:t>
      </w:r>
      <w:r w:rsidRPr="00BE727D">
        <w:rPr>
          <w:rFonts w:cstheme="minorHAnsi"/>
        </w:rPr>
        <w:t xml:space="preserve">frameworks. They give a story to the figures and data submitted by partnerships in ways that are understandable </w:t>
      </w:r>
      <w:r w:rsidR="0088219A">
        <w:rPr>
          <w:rFonts w:cstheme="minorHAnsi"/>
        </w:rPr>
        <w:t>and actionable by</w:t>
      </w:r>
      <w:r w:rsidRPr="00BE727D">
        <w:rPr>
          <w:rFonts w:cstheme="minorHAnsi"/>
        </w:rPr>
        <w:t xml:space="preserve"> stakeholders.</w:t>
      </w:r>
      <w:r w:rsidR="001272C9" w:rsidRPr="00BE727D">
        <w:rPr>
          <w:rFonts w:cstheme="minorHAnsi"/>
        </w:rPr>
        <w:t xml:space="preserve"> </w:t>
      </w:r>
    </w:p>
    <w:p w14:paraId="02C4085A" w14:textId="77777777" w:rsidR="00BE1AB1" w:rsidRPr="00BE727D" w:rsidRDefault="001272C9" w:rsidP="008C2872">
      <w:pPr>
        <w:jc w:val="both"/>
        <w:rPr>
          <w:rFonts w:cstheme="minorHAnsi"/>
        </w:rPr>
      </w:pPr>
      <w:r w:rsidRPr="00BE727D">
        <w:rPr>
          <w:rFonts w:cstheme="minorHAnsi"/>
        </w:rPr>
        <w:t xml:space="preserve">P4G requires all partnerships to develop two knowledge products </w:t>
      </w:r>
      <w:r w:rsidR="00826D20" w:rsidRPr="00BE727D">
        <w:rPr>
          <w:rFonts w:cstheme="minorHAnsi"/>
        </w:rPr>
        <w:t xml:space="preserve">during their funding period. </w:t>
      </w:r>
    </w:p>
    <w:p w14:paraId="5B44607F" w14:textId="301DB1DD" w:rsidR="00BE1AB1" w:rsidRPr="00BE727D" w:rsidRDefault="00BE1AB1" w:rsidP="00BE1AB1">
      <w:pPr>
        <w:pStyle w:val="ListParagraph"/>
        <w:numPr>
          <w:ilvl w:val="0"/>
          <w:numId w:val="5"/>
        </w:numPr>
        <w:jc w:val="both"/>
        <w:rPr>
          <w:rFonts w:cstheme="minorHAnsi"/>
        </w:rPr>
      </w:pPr>
      <w:r w:rsidRPr="00BE727D">
        <w:rPr>
          <w:rFonts w:cstheme="minorHAnsi"/>
        </w:rPr>
        <w:t xml:space="preserve">A </w:t>
      </w:r>
      <w:r w:rsidR="00826D20" w:rsidRPr="00BE727D">
        <w:rPr>
          <w:rFonts w:cstheme="minorHAnsi"/>
        </w:rPr>
        <w:t>product on the</w:t>
      </w:r>
      <w:r w:rsidR="00836A11" w:rsidRPr="00BE727D">
        <w:rPr>
          <w:rFonts w:cstheme="minorHAnsi"/>
        </w:rPr>
        <w:t xml:space="preserve"> policy and regulatory engagement the partnership </w:t>
      </w:r>
      <w:r w:rsidRPr="00BE727D">
        <w:rPr>
          <w:rFonts w:cstheme="minorHAnsi"/>
        </w:rPr>
        <w:t>undertakes</w:t>
      </w:r>
      <w:r w:rsidR="00836A11" w:rsidRPr="00BE727D">
        <w:rPr>
          <w:rFonts w:cstheme="minorHAnsi"/>
        </w:rPr>
        <w:t xml:space="preserve"> to strengthen the enabling market </w:t>
      </w:r>
      <w:r w:rsidRPr="00BE727D">
        <w:rPr>
          <w:rFonts w:cstheme="minorHAnsi"/>
        </w:rPr>
        <w:t>environment</w:t>
      </w:r>
      <w:r w:rsidR="00DF5DFD">
        <w:rPr>
          <w:rFonts w:cstheme="minorHAnsi"/>
        </w:rPr>
        <w:t xml:space="preserve"> in which it operates</w:t>
      </w:r>
      <w:r w:rsidRPr="00BE727D">
        <w:rPr>
          <w:rFonts w:cstheme="minorHAnsi"/>
        </w:rPr>
        <w:t xml:space="preserve">. </w:t>
      </w:r>
    </w:p>
    <w:p w14:paraId="4A62A178" w14:textId="6C992188" w:rsidR="005F7460" w:rsidRPr="00BE727D" w:rsidRDefault="00BE1AB1" w:rsidP="00BE727D">
      <w:pPr>
        <w:pStyle w:val="ListParagraph"/>
        <w:numPr>
          <w:ilvl w:val="0"/>
          <w:numId w:val="5"/>
        </w:numPr>
        <w:jc w:val="both"/>
        <w:rPr>
          <w:rFonts w:cstheme="minorHAnsi"/>
        </w:rPr>
      </w:pPr>
      <w:r w:rsidRPr="00BE727D">
        <w:rPr>
          <w:rFonts w:cstheme="minorHAnsi"/>
        </w:rPr>
        <w:t>A product on the success of the business model and learnings from the startup</w:t>
      </w:r>
      <w:r w:rsidR="00DF5DFD">
        <w:rPr>
          <w:rFonts w:cstheme="minorHAnsi"/>
        </w:rPr>
        <w:t>’</w:t>
      </w:r>
      <w:r w:rsidRPr="00BE727D">
        <w:rPr>
          <w:rFonts w:cstheme="minorHAnsi"/>
        </w:rPr>
        <w:t xml:space="preserve">s journey to investment readiness. </w:t>
      </w:r>
      <w:r w:rsidR="005A4993" w:rsidRPr="00BE727D">
        <w:rPr>
          <w:rFonts w:cstheme="minorHAnsi"/>
        </w:rPr>
        <w:t xml:space="preserve"> </w:t>
      </w:r>
    </w:p>
    <w:p w14:paraId="25B338C9" w14:textId="65ED540C" w:rsidR="00F66B4D" w:rsidRPr="00BE727D" w:rsidRDefault="00BE1AB1" w:rsidP="008C2872">
      <w:pPr>
        <w:jc w:val="both"/>
        <w:rPr>
          <w:rFonts w:cstheme="minorHAnsi"/>
        </w:rPr>
      </w:pPr>
      <w:r w:rsidRPr="00BE727D">
        <w:rPr>
          <w:rFonts w:cstheme="minorHAnsi"/>
        </w:rPr>
        <w:t>Below are the types of knowledge products</w:t>
      </w:r>
      <w:r w:rsidR="00F66B4D" w:rsidRPr="00BE727D">
        <w:rPr>
          <w:rFonts w:cstheme="minorHAnsi"/>
        </w:rPr>
        <w:t xml:space="preserve"> a partnership can produce within these two categories and guiding questions to address</w:t>
      </w:r>
      <w:r w:rsidRPr="00BE727D">
        <w:rPr>
          <w:rFonts w:cstheme="minorHAnsi"/>
        </w:rPr>
        <w:t xml:space="preserve"> </w:t>
      </w:r>
      <w:r w:rsidR="00F66B4D" w:rsidRPr="00BE727D">
        <w:rPr>
          <w:rFonts w:cstheme="minorHAnsi"/>
        </w:rPr>
        <w:t xml:space="preserve">in these reports.  </w:t>
      </w:r>
    </w:p>
    <w:p w14:paraId="4E89B14E" w14:textId="4BE5096C" w:rsidR="00F66B4D" w:rsidRPr="00BE727D" w:rsidRDefault="003F70A8" w:rsidP="58A2352A">
      <w:pPr>
        <w:pStyle w:val="ListParagraph"/>
        <w:numPr>
          <w:ilvl w:val="0"/>
          <w:numId w:val="6"/>
        </w:numPr>
        <w:jc w:val="both"/>
        <w:rPr>
          <w:rFonts w:cstheme="minorBidi"/>
          <w:b/>
          <w:bCs/>
        </w:rPr>
      </w:pPr>
      <w:r w:rsidRPr="58A2352A">
        <w:rPr>
          <w:rFonts w:cstheme="minorBidi"/>
          <w:b/>
          <w:bCs/>
        </w:rPr>
        <w:t xml:space="preserve">Knowledge Product on </w:t>
      </w:r>
      <w:r w:rsidR="00F66B4D" w:rsidRPr="58A2352A">
        <w:rPr>
          <w:rFonts w:cstheme="minorBidi"/>
          <w:b/>
          <w:bCs/>
        </w:rPr>
        <w:t>Strengthening Enabling Systems</w:t>
      </w:r>
      <w:r w:rsidR="3678A18C" w:rsidRPr="58A2352A">
        <w:rPr>
          <w:rFonts w:cstheme="minorBidi"/>
          <w:b/>
          <w:bCs/>
        </w:rPr>
        <w:t xml:space="preserve"> (Max 5 pages)</w:t>
      </w:r>
    </w:p>
    <w:p w14:paraId="26376345" w14:textId="67E8E05A" w:rsidR="008C2872" w:rsidRPr="00BE727D" w:rsidRDefault="007A5F2A" w:rsidP="008C2872">
      <w:pPr>
        <w:jc w:val="both"/>
        <w:rPr>
          <w:rFonts w:cstheme="minorHAnsi"/>
        </w:rPr>
      </w:pPr>
      <w:r w:rsidRPr="00BE727D">
        <w:rPr>
          <w:rFonts w:cstheme="minorHAnsi"/>
        </w:rPr>
        <w:t>U</w:t>
      </w:r>
      <w:r w:rsidR="6FAE0FE1" w:rsidRPr="00BE727D">
        <w:rPr>
          <w:rFonts w:cstheme="minorHAnsi"/>
        </w:rPr>
        <w:t xml:space="preserve">nderstanding the enabling </w:t>
      </w:r>
      <w:r w:rsidRPr="00BE727D">
        <w:rPr>
          <w:rFonts w:cstheme="minorHAnsi"/>
        </w:rPr>
        <w:t>market</w:t>
      </w:r>
      <w:r w:rsidR="6FAE0FE1" w:rsidRPr="00BE727D">
        <w:rPr>
          <w:rFonts w:cstheme="minorHAnsi"/>
        </w:rPr>
        <w:t xml:space="preserve"> ecosystem within which the partnership is operating</w:t>
      </w:r>
      <w:r w:rsidRPr="00BE727D">
        <w:rPr>
          <w:rFonts w:cstheme="minorHAnsi"/>
        </w:rPr>
        <w:t xml:space="preserve"> and learning how to navigate the potential challenges towards becoming investment ready is key to a partnership’s success</w:t>
      </w:r>
      <w:r w:rsidR="4B94018A" w:rsidRPr="00BE727D">
        <w:rPr>
          <w:rFonts w:cstheme="minorHAnsi"/>
        </w:rPr>
        <w:t xml:space="preserve">. This is especially </w:t>
      </w:r>
      <w:r w:rsidR="000D4887" w:rsidRPr="00BE727D">
        <w:rPr>
          <w:rFonts w:cstheme="minorHAnsi"/>
        </w:rPr>
        <w:t xml:space="preserve">important </w:t>
      </w:r>
      <w:r w:rsidR="4B94018A" w:rsidRPr="00BE727D">
        <w:rPr>
          <w:rFonts w:cstheme="minorHAnsi"/>
        </w:rPr>
        <w:t>because policy and regulation are some of the key drivers towards success of any business proposition.</w:t>
      </w:r>
    </w:p>
    <w:p w14:paraId="2078649D" w14:textId="73995618" w:rsidR="00472958" w:rsidRPr="00BE727D" w:rsidRDefault="731B3A2F" w:rsidP="00BE727D">
      <w:pPr>
        <w:jc w:val="both"/>
        <w:rPr>
          <w:rFonts w:cstheme="minorHAnsi"/>
        </w:rPr>
      </w:pPr>
      <w:r w:rsidRPr="00BE727D">
        <w:rPr>
          <w:rFonts w:cstheme="minorHAnsi"/>
          <w:b/>
          <w:bCs/>
        </w:rPr>
        <w:t>Enabling systems work</w:t>
      </w:r>
      <w:r w:rsidRPr="00BE727D">
        <w:rPr>
          <w:rFonts w:cstheme="minorHAnsi"/>
        </w:rPr>
        <w:t xml:space="preserve">- </w:t>
      </w:r>
      <w:r w:rsidR="315A03A8" w:rsidRPr="00BE727D">
        <w:rPr>
          <w:rFonts w:cstheme="minorHAnsi"/>
        </w:rPr>
        <w:t>Besides engagement with the National Platforms on policy and regulation, partnerships</w:t>
      </w:r>
      <w:r w:rsidRPr="00BE727D">
        <w:rPr>
          <w:rFonts w:cstheme="minorHAnsi"/>
        </w:rPr>
        <w:t xml:space="preserve"> </w:t>
      </w:r>
      <w:r w:rsidR="191C18C1" w:rsidRPr="00BE727D">
        <w:rPr>
          <w:rFonts w:cstheme="minorHAnsi"/>
        </w:rPr>
        <w:t xml:space="preserve">are </w:t>
      </w:r>
      <w:r w:rsidRPr="00BE727D">
        <w:rPr>
          <w:rFonts w:cstheme="minorHAnsi"/>
        </w:rPr>
        <w:t>expected to develop information pieces</w:t>
      </w:r>
      <w:r w:rsidR="60344D49" w:rsidRPr="00BE727D">
        <w:rPr>
          <w:rFonts w:cstheme="minorHAnsi"/>
        </w:rPr>
        <w:t xml:space="preserve"> around the work that the partnership is doing to influence or shape the enabling environment within which they are operating</w:t>
      </w:r>
      <w:r w:rsidR="00363AE7" w:rsidRPr="00BE727D">
        <w:rPr>
          <w:rFonts w:cstheme="minorHAnsi"/>
        </w:rPr>
        <w:t xml:space="preserve"> in the context of </w:t>
      </w:r>
      <w:r w:rsidR="6AB2C37B" w:rsidRPr="00BE727D">
        <w:rPr>
          <w:rFonts w:cstheme="minorHAnsi"/>
        </w:rPr>
        <w:t>becoming</w:t>
      </w:r>
      <w:r w:rsidR="00363AE7" w:rsidRPr="00BE727D">
        <w:rPr>
          <w:rFonts w:cstheme="minorHAnsi"/>
        </w:rPr>
        <w:t xml:space="preserve"> investment ready.</w:t>
      </w:r>
      <w:r w:rsidR="60344D49" w:rsidRPr="00BE727D">
        <w:rPr>
          <w:rFonts w:cstheme="minorHAnsi"/>
        </w:rPr>
        <w:t xml:space="preserve"> This includes interventions around advocacy, policy and regulatory work </w:t>
      </w:r>
      <w:r w:rsidR="00E74F01">
        <w:rPr>
          <w:rFonts w:cstheme="minorHAnsi"/>
        </w:rPr>
        <w:t>detailed</w:t>
      </w:r>
      <w:r w:rsidR="60344D49" w:rsidRPr="00BE727D">
        <w:rPr>
          <w:rFonts w:cstheme="minorHAnsi"/>
        </w:rPr>
        <w:t xml:space="preserve"> by individual partners in their workplan and budget. These could take the form </w:t>
      </w:r>
      <w:r w:rsidR="4892F527" w:rsidRPr="00BE727D">
        <w:rPr>
          <w:rFonts w:cstheme="minorHAnsi"/>
        </w:rPr>
        <w:t>of</w:t>
      </w:r>
      <w:r w:rsidR="3606AF73" w:rsidRPr="00BE727D">
        <w:rPr>
          <w:rFonts w:cstheme="minorHAnsi"/>
        </w:rPr>
        <w:t>:</w:t>
      </w:r>
    </w:p>
    <w:p w14:paraId="29E8D998" w14:textId="1EC3AFA7" w:rsidR="00363AE7" w:rsidRPr="00BE727D" w:rsidRDefault="00363AE7" w:rsidP="00472958">
      <w:pPr>
        <w:pStyle w:val="ListParagraph"/>
        <w:numPr>
          <w:ilvl w:val="0"/>
          <w:numId w:val="2"/>
        </w:numPr>
        <w:jc w:val="both"/>
        <w:rPr>
          <w:rFonts w:cstheme="minorHAnsi"/>
        </w:rPr>
      </w:pPr>
      <w:r w:rsidRPr="00BE727D">
        <w:rPr>
          <w:rFonts w:cstheme="minorHAnsi"/>
        </w:rPr>
        <w:t xml:space="preserve">Reports: Comprehensive documents that provide detailed analysis and findings on </w:t>
      </w:r>
      <w:r w:rsidR="000C625A" w:rsidRPr="00BE727D">
        <w:rPr>
          <w:rFonts w:cstheme="minorHAnsi"/>
        </w:rPr>
        <w:t>policy</w:t>
      </w:r>
      <w:r w:rsidRPr="00BE727D">
        <w:rPr>
          <w:rFonts w:cstheme="minorHAnsi"/>
        </w:rPr>
        <w:t xml:space="preserve"> and regulatory issues.</w:t>
      </w:r>
    </w:p>
    <w:p w14:paraId="64F05EC1" w14:textId="6A7FC054" w:rsidR="00363AE7" w:rsidRPr="00BE727D" w:rsidRDefault="00363AE7" w:rsidP="00BE727D">
      <w:pPr>
        <w:pStyle w:val="ListParagraph"/>
        <w:numPr>
          <w:ilvl w:val="0"/>
          <w:numId w:val="2"/>
        </w:numPr>
        <w:rPr>
          <w:rFonts w:cstheme="minorHAnsi"/>
        </w:rPr>
      </w:pPr>
      <w:r w:rsidRPr="00BE727D">
        <w:rPr>
          <w:rFonts w:cstheme="minorHAnsi"/>
        </w:rPr>
        <w:t>Technical Papers: In-depth discussions on specific technical aspects of a policy or regulation.</w:t>
      </w:r>
    </w:p>
    <w:p w14:paraId="3F7B852E" w14:textId="77777777" w:rsidR="00363AE7" w:rsidRPr="00BE727D" w:rsidRDefault="00363AE7" w:rsidP="00BE727D">
      <w:pPr>
        <w:pStyle w:val="ListParagraph"/>
        <w:numPr>
          <w:ilvl w:val="0"/>
          <w:numId w:val="2"/>
        </w:numPr>
        <w:rPr>
          <w:rFonts w:cstheme="minorHAnsi"/>
        </w:rPr>
      </w:pPr>
      <w:r w:rsidRPr="00BE727D">
        <w:rPr>
          <w:rFonts w:cstheme="minorHAnsi"/>
        </w:rPr>
        <w:t>Guidance Materials: Practical resources that offer step-by-step instructions or frameworks for implementing policies.</w:t>
      </w:r>
    </w:p>
    <w:p w14:paraId="304B15AB" w14:textId="1DCDFF20" w:rsidR="00363AE7" w:rsidRPr="00BE727D" w:rsidRDefault="00363AE7" w:rsidP="6FEFE978">
      <w:pPr>
        <w:pStyle w:val="ListParagraph"/>
        <w:numPr>
          <w:ilvl w:val="0"/>
          <w:numId w:val="2"/>
        </w:numPr>
        <w:rPr>
          <w:rFonts w:cstheme="minorBidi"/>
        </w:rPr>
      </w:pPr>
      <w:r w:rsidRPr="6FEFE978">
        <w:rPr>
          <w:rFonts w:cstheme="minorBidi"/>
        </w:rPr>
        <w:t>Policy Briefs: Concise documents that summarize key issues, implication</w:t>
      </w:r>
      <w:r w:rsidR="7193ACE3" w:rsidRPr="6FEFE978">
        <w:rPr>
          <w:rFonts w:cstheme="minorBidi"/>
        </w:rPr>
        <w:t>s</w:t>
      </w:r>
      <w:r w:rsidRPr="6FEFE978">
        <w:rPr>
          <w:rFonts w:cstheme="minorBidi"/>
        </w:rPr>
        <w:t xml:space="preserve"> and recommendations for policymakers.</w:t>
      </w:r>
    </w:p>
    <w:p w14:paraId="1931D3D4" w14:textId="01F4AAE5" w:rsidR="1B7F010C" w:rsidRDefault="1B7F010C" w:rsidP="6FEFE978">
      <w:pPr>
        <w:pStyle w:val="ListParagraph"/>
        <w:numPr>
          <w:ilvl w:val="0"/>
          <w:numId w:val="2"/>
        </w:numPr>
        <w:rPr>
          <w:rFonts w:cstheme="minorBidi"/>
        </w:rPr>
      </w:pPr>
      <w:r w:rsidRPr="00F1E64A">
        <w:rPr>
          <w:rFonts w:cstheme="minorBidi"/>
        </w:rPr>
        <w:t>White paper</w:t>
      </w:r>
      <w:r w:rsidR="598FF180" w:rsidRPr="00F1E64A">
        <w:rPr>
          <w:rFonts w:cstheme="minorBidi"/>
          <w:szCs w:val="22"/>
        </w:rPr>
        <w:t xml:space="preserve">: </w:t>
      </w:r>
      <w:r w:rsidR="152B28FE" w:rsidRPr="00F1E64A">
        <w:rPr>
          <w:rFonts w:cstheme="minorBidi"/>
          <w:szCs w:val="22"/>
        </w:rPr>
        <w:t xml:space="preserve">authoritative document used by stakeholders to present detailed policy proposals or positions on specific issues.  </w:t>
      </w:r>
    </w:p>
    <w:p w14:paraId="05F89865" w14:textId="74523266" w:rsidR="00720240" w:rsidRPr="00BE727D" w:rsidRDefault="3B15BD7A" w:rsidP="00BE727D">
      <w:pPr>
        <w:pStyle w:val="ListParagraph"/>
        <w:numPr>
          <w:ilvl w:val="0"/>
          <w:numId w:val="2"/>
        </w:numPr>
        <w:rPr>
          <w:rFonts w:cstheme="minorHAnsi"/>
        </w:rPr>
      </w:pPr>
      <w:r w:rsidRPr="00BE727D">
        <w:rPr>
          <w:rFonts w:cstheme="minorHAnsi"/>
        </w:rPr>
        <w:t xml:space="preserve">Working papers: </w:t>
      </w:r>
      <w:r w:rsidR="002B6836" w:rsidRPr="00BE727D">
        <w:rPr>
          <w:rFonts w:cstheme="minorHAnsi"/>
        </w:rPr>
        <w:t>R</w:t>
      </w:r>
      <w:r w:rsidR="7ED263C9" w:rsidRPr="00BE727D">
        <w:rPr>
          <w:rFonts w:cstheme="minorHAnsi"/>
        </w:rPr>
        <w:t>esearch, analysis or thinking that is still under development</w:t>
      </w:r>
      <w:r w:rsidR="002B6836" w:rsidRPr="00BE727D">
        <w:rPr>
          <w:rFonts w:cstheme="minorHAnsi"/>
        </w:rPr>
        <w:t xml:space="preserve"> that are designed to be a </w:t>
      </w:r>
      <w:r w:rsidR="7ED263C9" w:rsidRPr="00BE727D">
        <w:rPr>
          <w:rFonts w:cstheme="minorHAnsi"/>
        </w:rPr>
        <w:t>mechanism for sharing preliminary findings with target audiences.</w:t>
      </w:r>
      <w:r w:rsidR="254C0359" w:rsidRPr="00BE727D">
        <w:rPr>
          <w:rFonts w:cstheme="minorHAnsi"/>
        </w:rPr>
        <w:t xml:space="preserve"> </w:t>
      </w:r>
      <w:r w:rsidR="008C2872" w:rsidRPr="00BE727D">
        <w:rPr>
          <w:rFonts w:cstheme="minorHAnsi"/>
        </w:rPr>
        <w:t>Th</w:t>
      </w:r>
      <w:r w:rsidR="00A957D7" w:rsidRPr="00BE727D">
        <w:rPr>
          <w:rFonts w:cstheme="minorHAnsi"/>
        </w:rPr>
        <w:t xml:space="preserve">is </w:t>
      </w:r>
      <w:r w:rsidR="00A957D7" w:rsidRPr="00BE727D">
        <w:rPr>
          <w:rFonts w:cstheme="minorHAnsi"/>
        </w:rPr>
        <w:lastRenderedPageBreak/>
        <w:t xml:space="preserve">knowledge product </w:t>
      </w:r>
      <w:r w:rsidR="008C2872" w:rsidRPr="00BE727D">
        <w:rPr>
          <w:rFonts w:cstheme="minorHAnsi"/>
        </w:rPr>
        <w:t>should be tailored and reflect the activities</w:t>
      </w:r>
      <w:r w:rsidR="00363AE7" w:rsidRPr="00BE727D">
        <w:rPr>
          <w:rFonts w:cstheme="minorHAnsi"/>
        </w:rPr>
        <w:t xml:space="preserve"> under the enabling environment pillar</w:t>
      </w:r>
      <w:r w:rsidR="008C2872" w:rsidRPr="00BE727D">
        <w:rPr>
          <w:rFonts w:cstheme="minorHAnsi"/>
        </w:rPr>
        <w:t xml:space="preserve"> as designed in the approved workplan.</w:t>
      </w:r>
    </w:p>
    <w:p w14:paraId="30E65DEE" w14:textId="106469F8" w:rsidR="00720240" w:rsidRPr="00BE727D" w:rsidRDefault="73437757" w:rsidP="00BE727D">
      <w:pPr>
        <w:jc w:val="both"/>
        <w:rPr>
          <w:rFonts w:cstheme="minorHAnsi"/>
          <w:b/>
          <w:bCs/>
        </w:rPr>
      </w:pPr>
      <w:r w:rsidRPr="00BE727D">
        <w:rPr>
          <w:rFonts w:cstheme="minorHAnsi"/>
          <w:b/>
          <w:bCs/>
        </w:rPr>
        <w:t>Partnerships are expected to produce a minimum of one piece from the above choices.</w:t>
      </w:r>
    </w:p>
    <w:p w14:paraId="027EFC28" w14:textId="77777777" w:rsidR="00472958" w:rsidRPr="00BE727D" w:rsidRDefault="00472958" w:rsidP="436E4858">
      <w:pPr>
        <w:pStyle w:val="ListParagraph"/>
        <w:jc w:val="both"/>
        <w:rPr>
          <w:rFonts w:cstheme="minorHAnsi"/>
          <w:b/>
          <w:bCs/>
        </w:rPr>
      </w:pPr>
    </w:p>
    <w:p w14:paraId="0E6F798C" w14:textId="02AA60B2" w:rsidR="00472958" w:rsidRPr="00BE727D" w:rsidRDefault="00472958" w:rsidP="58A2352A">
      <w:pPr>
        <w:pStyle w:val="ListParagraph"/>
        <w:numPr>
          <w:ilvl w:val="0"/>
          <w:numId w:val="6"/>
        </w:numPr>
        <w:jc w:val="both"/>
        <w:rPr>
          <w:rFonts w:cstheme="minorBidi"/>
          <w:b/>
          <w:bCs/>
        </w:rPr>
      </w:pPr>
      <w:r w:rsidRPr="58A2352A">
        <w:rPr>
          <w:rFonts w:cstheme="minorBidi"/>
          <w:b/>
          <w:bCs/>
        </w:rPr>
        <w:t>Case Study on the Business Model</w:t>
      </w:r>
      <w:r w:rsidR="1B7714A3" w:rsidRPr="58A2352A">
        <w:rPr>
          <w:rFonts w:cstheme="minorBidi"/>
          <w:b/>
          <w:bCs/>
        </w:rPr>
        <w:t xml:space="preserve"> (Max 10 pages)</w:t>
      </w:r>
    </w:p>
    <w:p w14:paraId="45A60579" w14:textId="77777777" w:rsidR="00472958" w:rsidRPr="00BE727D" w:rsidRDefault="00472958" w:rsidP="00472958">
      <w:pPr>
        <w:pStyle w:val="ListParagraph"/>
        <w:jc w:val="both"/>
        <w:rPr>
          <w:rFonts w:cstheme="minorHAnsi"/>
          <w:b/>
          <w:bCs/>
        </w:rPr>
      </w:pPr>
    </w:p>
    <w:p w14:paraId="5965E0AA" w14:textId="7A84A7CB" w:rsidR="00363AE7" w:rsidRPr="00BE727D" w:rsidRDefault="00734CA1" w:rsidP="00BE727D">
      <w:pPr>
        <w:jc w:val="both"/>
        <w:rPr>
          <w:rFonts w:cstheme="minorHAnsi"/>
        </w:rPr>
      </w:pPr>
      <w:r w:rsidRPr="00BE727D">
        <w:rPr>
          <w:rFonts w:eastAsia="Segoe UI" w:cstheme="minorHAnsi"/>
        </w:rPr>
        <w:t>P4G expects a case study that details the pathway the startup has navigated towards becoming investment ready.</w:t>
      </w:r>
      <w:r w:rsidRPr="00BE727D">
        <w:rPr>
          <w:rFonts w:cstheme="minorHAnsi"/>
        </w:rPr>
        <w:t xml:space="preserve"> </w:t>
      </w:r>
      <w:r w:rsidR="00363AE7" w:rsidRPr="00BE727D">
        <w:rPr>
          <w:rFonts w:cstheme="minorHAnsi"/>
        </w:rPr>
        <w:t xml:space="preserve">This knowledge product is aimed at qualitatively validating </w:t>
      </w:r>
      <w:r w:rsidRPr="00BE727D">
        <w:rPr>
          <w:rFonts w:cstheme="minorHAnsi"/>
        </w:rPr>
        <w:t xml:space="preserve">the </w:t>
      </w:r>
      <w:r w:rsidR="00363AE7" w:rsidRPr="00BE727D">
        <w:rPr>
          <w:rFonts w:cstheme="minorHAnsi"/>
        </w:rPr>
        <w:t xml:space="preserve">impact of the proposed </w:t>
      </w:r>
      <w:r w:rsidRPr="00BE727D">
        <w:rPr>
          <w:rFonts w:cstheme="minorHAnsi"/>
        </w:rPr>
        <w:t>business model</w:t>
      </w:r>
      <w:r w:rsidR="00363AE7" w:rsidRPr="00BE727D">
        <w:rPr>
          <w:rFonts w:cstheme="minorHAnsi"/>
        </w:rPr>
        <w:t xml:space="preserve"> by the partnership and should be </w:t>
      </w:r>
      <w:r w:rsidR="009B6146" w:rsidRPr="00BE727D">
        <w:rPr>
          <w:rFonts w:cstheme="minorHAnsi"/>
        </w:rPr>
        <w:t xml:space="preserve">tailored to an external audience of relevant </w:t>
      </w:r>
      <w:r w:rsidR="00363AE7" w:rsidRPr="00BE727D">
        <w:rPr>
          <w:rFonts w:cstheme="minorHAnsi"/>
        </w:rPr>
        <w:t>stakeholders within the</w:t>
      </w:r>
      <w:r w:rsidR="31A3606F" w:rsidRPr="00BE727D">
        <w:rPr>
          <w:rFonts w:cstheme="minorHAnsi"/>
        </w:rPr>
        <w:t xml:space="preserve"> sector or sub-sector</w:t>
      </w:r>
      <w:r w:rsidR="00363AE7" w:rsidRPr="00BE727D">
        <w:rPr>
          <w:rFonts w:cstheme="minorHAnsi"/>
        </w:rPr>
        <w:t>.</w:t>
      </w:r>
      <w:r w:rsidR="54EF61D0" w:rsidRPr="00BE727D">
        <w:rPr>
          <w:rFonts w:cstheme="minorHAnsi"/>
        </w:rPr>
        <w:t xml:space="preserve"> </w:t>
      </w:r>
      <w:r w:rsidR="009B6146" w:rsidRPr="00BE727D">
        <w:rPr>
          <w:rFonts w:cstheme="minorHAnsi"/>
        </w:rPr>
        <w:t>K</w:t>
      </w:r>
      <w:r w:rsidR="338269D0" w:rsidRPr="00BE727D">
        <w:rPr>
          <w:rFonts w:cstheme="minorHAnsi"/>
        </w:rPr>
        <w:t>ey</w:t>
      </w:r>
      <w:r w:rsidR="0054212D" w:rsidRPr="00BE727D">
        <w:rPr>
          <w:rFonts w:cstheme="minorHAnsi"/>
        </w:rPr>
        <w:t xml:space="preserve"> considerations when developing this </w:t>
      </w:r>
      <w:r w:rsidR="338269D0" w:rsidRPr="00BE727D">
        <w:rPr>
          <w:rFonts w:cstheme="minorHAnsi"/>
        </w:rPr>
        <w:t>case study</w:t>
      </w:r>
      <w:r w:rsidR="0054212D" w:rsidRPr="00BE727D">
        <w:rPr>
          <w:rFonts w:cstheme="minorHAnsi"/>
        </w:rPr>
        <w:t xml:space="preserve"> include.</w:t>
      </w:r>
    </w:p>
    <w:p w14:paraId="2F60DC6C" w14:textId="58BD19D5" w:rsidR="0054212D" w:rsidRPr="00BE727D" w:rsidRDefault="0054212D" w:rsidP="00BE727D">
      <w:pPr>
        <w:pStyle w:val="ListParagraph"/>
        <w:numPr>
          <w:ilvl w:val="0"/>
          <w:numId w:val="3"/>
        </w:numPr>
        <w:rPr>
          <w:rFonts w:cstheme="minorHAnsi"/>
        </w:rPr>
      </w:pPr>
      <w:r w:rsidRPr="00BE727D">
        <w:rPr>
          <w:rFonts w:cstheme="minorHAnsi"/>
        </w:rPr>
        <w:t>Background and problem analysis</w:t>
      </w:r>
      <w:r w:rsidR="64017190" w:rsidRPr="00BE727D">
        <w:rPr>
          <w:rFonts w:cstheme="minorHAnsi"/>
        </w:rPr>
        <w:t>:</w:t>
      </w:r>
      <w:r w:rsidRPr="00BE727D">
        <w:rPr>
          <w:rFonts w:cstheme="minorHAnsi"/>
        </w:rPr>
        <w:t xml:space="preserve"> </w:t>
      </w:r>
      <w:r w:rsidR="0031761B" w:rsidRPr="00BE727D">
        <w:rPr>
          <w:rFonts w:cstheme="minorHAnsi"/>
        </w:rPr>
        <w:t>D</w:t>
      </w:r>
      <w:r w:rsidRPr="00BE727D">
        <w:rPr>
          <w:rFonts w:cstheme="minorHAnsi"/>
        </w:rPr>
        <w:t xml:space="preserve">efine </w:t>
      </w:r>
      <w:r w:rsidR="446080C6" w:rsidRPr="00BE727D">
        <w:rPr>
          <w:rFonts w:cstheme="minorHAnsi"/>
        </w:rPr>
        <w:t xml:space="preserve">the </w:t>
      </w:r>
      <w:r w:rsidRPr="00BE727D">
        <w:rPr>
          <w:rFonts w:cstheme="minorHAnsi"/>
        </w:rPr>
        <w:t xml:space="preserve">problem being addressed by the business in terms of magnitude, severity and prioritization in global and or regional agenda (should be evidence based </w:t>
      </w:r>
      <w:r w:rsidR="001D1A0B">
        <w:rPr>
          <w:rFonts w:cstheme="minorHAnsi"/>
        </w:rPr>
        <w:t>and include</w:t>
      </w:r>
      <w:r w:rsidRPr="00BE727D">
        <w:rPr>
          <w:rFonts w:cstheme="minorHAnsi"/>
        </w:rPr>
        <w:t xml:space="preserve"> data &amp; facts</w:t>
      </w:r>
      <w:r w:rsidR="0031761B" w:rsidRPr="00BE727D">
        <w:rPr>
          <w:rFonts w:cstheme="minorHAnsi"/>
        </w:rPr>
        <w:t xml:space="preserve"> with citations</w:t>
      </w:r>
      <w:r w:rsidRPr="00BE727D">
        <w:rPr>
          <w:rFonts w:cstheme="minorHAnsi"/>
        </w:rPr>
        <w:t>). </w:t>
      </w:r>
    </w:p>
    <w:p w14:paraId="058620B4" w14:textId="6E8422F2" w:rsidR="0054212D" w:rsidRPr="00BE727D" w:rsidRDefault="00E74754" w:rsidP="00BE727D">
      <w:pPr>
        <w:pStyle w:val="ListParagraph"/>
        <w:numPr>
          <w:ilvl w:val="0"/>
          <w:numId w:val="3"/>
        </w:numPr>
        <w:rPr>
          <w:rFonts w:cstheme="minorHAnsi"/>
        </w:rPr>
      </w:pPr>
      <w:r>
        <w:rPr>
          <w:rFonts w:cstheme="minorHAnsi"/>
        </w:rPr>
        <w:t xml:space="preserve">Solution: </w:t>
      </w:r>
      <w:r w:rsidR="0054212D" w:rsidRPr="00BE727D">
        <w:rPr>
          <w:rFonts w:cstheme="minorHAnsi"/>
        </w:rPr>
        <w:t>Clear definition of the product that the business has developed as a solution to the problem above</w:t>
      </w:r>
      <w:r w:rsidR="006F1E88">
        <w:rPr>
          <w:rFonts w:cstheme="minorHAnsi"/>
        </w:rPr>
        <w:t>,</w:t>
      </w:r>
      <w:r w:rsidR="0054212D" w:rsidRPr="00BE727D">
        <w:rPr>
          <w:rFonts w:cstheme="minorHAnsi"/>
        </w:rPr>
        <w:t xml:space="preserve"> including why the product is innovative</w:t>
      </w:r>
      <w:r w:rsidR="6AECC592" w:rsidRPr="00BE727D">
        <w:rPr>
          <w:rFonts w:cstheme="minorHAnsi"/>
        </w:rPr>
        <w:t xml:space="preserve"> and its additionality to the country/ sub-sector and/ or current state of things</w:t>
      </w:r>
      <w:r w:rsidR="0054212D" w:rsidRPr="00BE727D">
        <w:rPr>
          <w:rFonts w:cstheme="minorHAnsi"/>
        </w:rPr>
        <w:t>.</w:t>
      </w:r>
    </w:p>
    <w:p w14:paraId="61889491" w14:textId="2A3BE3D2" w:rsidR="0054212D" w:rsidRPr="00BE727D" w:rsidRDefault="0054212D" w:rsidP="00C00CEE">
      <w:pPr>
        <w:pStyle w:val="ListParagraph"/>
        <w:numPr>
          <w:ilvl w:val="0"/>
          <w:numId w:val="3"/>
        </w:numPr>
        <w:rPr>
          <w:rFonts w:cstheme="minorHAnsi"/>
        </w:rPr>
      </w:pPr>
      <w:r w:rsidRPr="00BE727D">
        <w:rPr>
          <w:rFonts w:cstheme="minorHAnsi"/>
        </w:rPr>
        <w:t>Defined methodology</w:t>
      </w:r>
      <w:r w:rsidR="1FC36D0B" w:rsidRPr="00BE727D">
        <w:rPr>
          <w:rFonts w:cstheme="minorHAnsi"/>
        </w:rPr>
        <w:t>:</w:t>
      </w:r>
      <w:r w:rsidRPr="00BE727D">
        <w:rPr>
          <w:rFonts w:cstheme="minorHAnsi"/>
        </w:rPr>
        <w:t xml:space="preserve"> Description of the approach, methods, tools and innovations used to execute the</w:t>
      </w:r>
      <w:r w:rsidR="15A4A268" w:rsidRPr="00BE727D">
        <w:rPr>
          <w:rFonts w:cstheme="minorHAnsi"/>
        </w:rPr>
        <w:t xml:space="preserve"> startup or business</w:t>
      </w:r>
      <w:r w:rsidRPr="00BE727D">
        <w:rPr>
          <w:rFonts w:cstheme="minorHAnsi"/>
        </w:rPr>
        <w:t>. </w:t>
      </w:r>
    </w:p>
    <w:p w14:paraId="10FCBCB9" w14:textId="4E261CDE" w:rsidR="0054212D" w:rsidRPr="00BE727D" w:rsidRDefault="0054212D" w:rsidP="00C00CEE">
      <w:pPr>
        <w:pStyle w:val="ListParagraph"/>
        <w:numPr>
          <w:ilvl w:val="0"/>
          <w:numId w:val="3"/>
        </w:numPr>
        <w:rPr>
          <w:rFonts w:cstheme="minorHAnsi"/>
        </w:rPr>
      </w:pPr>
      <w:r w:rsidRPr="00BE727D">
        <w:rPr>
          <w:rFonts w:cstheme="minorHAnsi"/>
        </w:rPr>
        <w:t xml:space="preserve">Business model: </w:t>
      </w:r>
      <w:r w:rsidR="00C00CEE" w:rsidRPr="00BE727D">
        <w:rPr>
          <w:rFonts w:cstheme="minorHAnsi"/>
        </w:rPr>
        <w:t>E</w:t>
      </w:r>
      <w:r w:rsidRPr="00BE727D">
        <w:rPr>
          <w:rFonts w:cstheme="minorHAnsi"/>
        </w:rPr>
        <w:t>xplanation of how the product has been packaged for the market, who the customers are, how it reaches these customers, and how it generates revenue for the business. </w:t>
      </w:r>
    </w:p>
    <w:p w14:paraId="4036EF52" w14:textId="50F305DE" w:rsidR="0054212D" w:rsidRPr="00BE727D" w:rsidRDefault="0054212D" w:rsidP="00BE727D">
      <w:pPr>
        <w:pStyle w:val="ListParagraph"/>
        <w:numPr>
          <w:ilvl w:val="0"/>
          <w:numId w:val="3"/>
        </w:numPr>
        <w:rPr>
          <w:rFonts w:cstheme="minorHAnsi"/>
        </w:rPr>
      </w:pPr>
      <w:r w:rsidRPr="00BE727D">
        <w:rPr>
          <w:rFonts w:cstheme="minorHAnsi"/>
        </w:rPr>
        <w:t>Results</w:t>
      </w:r>
      <w:r w:rsidR="420F1F96" w:rsidRPr="00BE727D">
        <w:rPr>
          <w:rFonts w:cstheme="minorHAnsi"/>
        </w:rPr>
        <w:t>:</w:t>
      </w:r>
      <w:r w:rsidRPr="00BE727D">
        <w:rPr>
          <w:rFonts w:cstheme="minorHAnsi"/>
        </w:rPr>
        <w:t xml:space="preserve"> Summary </w:t>
      </w:r>
      <w:r w:rsidR="00595A49" w:rsidRPr="00BE727D">
        <w:rPr>
          <w:rFonts w:cstheme="minorHAnsi"/>
        </w:rPr>
        <w:t>of the</w:t>
      </w:r>
      <w:r w:rsidRPr="00BE727D">
        <w:rPr>
          <w:rFonts w:cstheme="minorHAnsi"/>
        </w:rPr>
        <w:t xml:space="preserve"> outcomes achieved, including quantitative and qualitative results based on the P4G MEL framework. For partnerships that received investment or investor commitments, please share the key levers that helped leverage this commitment and non-confidential information about the investors, investment amounts and types of investment (e.g. equity, debt, concessional, etc.)</w:t>
      </w:r>
      <w:r w:rsidR="00595A49" w:rsidRPr="00BE727D">
        <w:rPr>
          <w:rFonts w:cstheme="minorHAnsi"/>
        </w:rPr>
        <w:t>. Include customer experience, interview/ quotes, and any external feedback Impact. </w:t>
      </w:r>
    </w:p>
    <w:p w14:paraId="272A1FE1" w14:textId="3D5AD140" w:rsidR="00595A49" w:rsidRPr="00BE727D" w:rsidRDefault="00595A49" w:rsidP="00BE727D">
      <w:pPr>
        <w:pStyle w:val="ListParagraph"/>
        <w:numPr>
          <w:ilvl w:val="0"/>
          <w:numId w:val="3"/>
        </w:numPr>
        <w:rPr>
          <w:rFonts w:cstheme="minorHAnsi"/>
        </w:rPr>
      </w:pPr>
      <w:r w:rsidRPr="00BE727D">
        <w:rPr>
          <w:rFonts w:cstheme="minorHAnsi"/>
        </w:rPr>
        <w:t>Challenges and solutions</w:t>
      </w:r>
      <w:r w:rsidR="73EBF761" w:rsidRPr="00BE727D">
        <w:rPr>
          <w:rFonts w:cstheme="minorHAnsi"/>
        </w:rPr>
        <w:t>:</w:t>
      </w:r>
      <w:r w:rsidRPr="00BE727D">
        <w:rPr>
          <w:rFonts w:cstheme="minorHAnsi"/>
        </w:rPr>
        <w:t xml:space="preserve"> Impediments (and solutions) to investment and scale readiness; highlighting the challenges faced by the business in fully scaling the product in the market and being ready for external (follow-on) investment. These could be internal to the business or from the external environment. </w:t>
      </w:r>
      <w:r w:rsidR="00C36EBD" w:rsidRPr="00BE727D">
        <w:rPr>
          <w:rFonts w:cstheme="minorHAnsi"/>
        </w:rPr>
        <w:t>These can also be related to the enabling market environment in which the business operates and</w:t>
      </w:r>
      <w:r w:rsidR="008E3CF2" w:rsidRPr="00BE727D">
        <w:rPr>
          <w:rFonts w:cstheme="minorHAnsi"/>
        </w:rPr>
        <w:t xml:space="preserve"> </w:t>
      </w:r>
      <w:r w:rsidR="00720240" w:rsidRPr="00BE727D">
        <w:rPr>
          <w:rFonts w:cstheme="minorHAnsi"/>
        </w:rPr>
        <w:t>a brief overview of the startup’s contributions</w:t>
      </w:r>
      <w:r w:rsidR="00C36EBD" w:rsidRPr="00BE727D">
        <w:rPr>
          <w:rFonts w:cstheme="minorHAnsi"/>
        </w:rPr>
        <w:t xml:space="preserve"> to </w:t>
      </w:r>
      <w:r w:rsidR="008E3CF2" w:rsidRPr="00BE727D">
        <w:rPr>
          <w:rFonts w:cstheme="minorHAnsi"/>
        </w:rPr>
        <w:t xml:space="preserve">improve the policy and regulatory framework. </w:t>
      </w:r>
      <w:r w:rsidRPr="00BE727D">
        <w:rPr>
          <w:rFonts w:cstheme="minorHAnsi"/>
        </w:rPr>
        <w:t xml:space="preserve"> </w:t>
      </w:r>
    </w:p>
    <w:p w14:paraId="28FDB1FC" w14:textId="2B6D69D9" w:rsidR="00595A49" w:rsidRPr="00BE727D" w:rsidRDefault="00595A49" w:rsidP="00BE727D">
      <w:pPr>
        <w:pStyle w:val="ListParagraph"/>
        <w:numPr>
          <w:ilvl w:val="0"/>
          <w:numId w:val="3"/>
        </w:numPr>
        <w:rPr>
          <w:rFonts w:cstheme="minorHAnsi"/>
        </w:rPr>
      </w:pPr>
      <w:r w:rsidRPr="00BE727D">
        <w:rPr>
          <w:rFonts w:cstheme="minorHAnsi"/>
        </w:rPr>
        <w:t>Lessons learnt</w:t>
      </w:r>
      <w:r w:rsidR="3FB65F66" w:rsidRPr="00BE727D">
        <w:rPr>
          <w:rFonts w:cstheme="minorHAnsi"/>
        </w:rPr>
        <w:t>:</w:t>
      </w:r>
      <w:r w:rsidRPr="00BE727D">
        <w:rPr>
          <w:rFonts w:cstheme="minorHAnsi"/>
        </w:rPr>
        <w:t xml:space="preserve"> Key takeaways that can inform investment readiness and scaling of similar businesses. </w:t>
      </w:r>
    </w:p>
    <w:p w14:paraId="1BE92729" w14:textId="264C87B8" w:rsidR="00595A49" w:rsidRPr="00BE727D" w:rsidRDefault="00595A49" w:rsidP="00BE727D">
      <w:pPr>
        <w:pStyle w:val="ListParagraph"/>
        <w:numPr>
          <w:ilvl w:val="0"/>
          <w:numId w:val="3"/>
        </w:numPr>
        <w:rPr>
          <w:rFonts w:eastAsia="Calibri" w:cstheme="minorHAnsi"/>
          <w:b/>
          <w:bCs/>
          <w:szCs w:val="22"/>
        </w:rPr>
      </w:pPr>
      <w:r w:rsidRPr="00F1E64A">
        <w:rPr>
          <w:rFonts w:cstheme="minorBidi"/>
        </w:rPr>
        <w:t>Recommendations</w:t>
      </w:r>
      <w:r w:rsidR="48E1F397" w:rsidRPr="00F1E64A">
        <w:rPr>
          <w:rFonts w:cstheme="minorBidi"/>
        </w:rPr>
        <w:t>:</w:t>
      </w:r>
      <w:r w:rsidRPr="00F1E64A">
        <w:rPr>
          <w:rFonts w:cstheme="minorBidi"/>
        </w:rPr>
        <w:t xml:space="preserve"> Suggestions for improvement or future actions based on partnership experience that can influence or help others in the sector. </w:t>
      </w:r>
    </w:p>
    <w:p w14:paraId="3EEC4CC5" w14:textId="0D8E12E4" w:rsidR="09BB06C6" w:rsidRDefault="09BB06C6" w:rsidP="00F1E64A">
      <w:pPr>
        <w:pStyle w:val="ListParagraph"/>
        <w:numPr>
          <w:ilvl w:val="0"/>
          <w:numId w:val="3"/>
        </w:numPr>
        <w:jc w:val="both"/>
        <w:rPr>
          <w:rFonts w:cstheme="minorBidi"/>
          <w:color w:val="000000" w:themeColor="text1"/>
          <w:szCs w:val="22"/>
        </w:rPr>
      </w:pPr>
      <w:r w:rsidRPr="00F1E64A">
        <w:rPr>
          <w:rFonts w:cstheme="minorBidi"/>
          <w:color w:val="000000" w:themeColor="text1"/>
          <w:szCs w:val="22"/>
        </w:rPr>
        <w:t>Annex 1: Data comparison on ESG and Financial Data</w:t>
      </w:r>
    </w:p>
    <w:p w14:paraId="3A10E3D4" w14:textId="39746AA4" w:rsidR="09BB06C6" w:rsidRDefault="09BB06C6" w:rsidP="00F1E64A">
      <w:pPr>
        <w:ind w:left="720"/>
        <w:jc w:val="both"/>
        <w:rPr>
          <w:rFonts w:cstheme="minorBidi"/>
          <w:color w:val="000000" w:themeColor="text1"/>
          <w:szCs w:val="22"/>
        </w:rPr>
      </w:pPr>
      <w:r w:rsidRPr="00F1E64A">
        <w:rPr>
          <w:rFonts w:cstheme="minorBidi"/>
          <w:color w:val="000000" w:themeColor="text1"/>
          <w:szCs w:val="22"/>
        </w:rPr>
        <w:t>Please include a section that compares historical data with current data for key ESG and financial metrics. This comparison could be detailed using the tables provided below:</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8"/>
        <w:gridCol w:w="1496"/>
        <w:gridCol w:w="1688"/>
        <w:gridCol w:w="3658"/>
      </w:tblGrid>
      <w:tr w:rsidR="00F1E64A" w14:paraId="7DD1E2D8" w14:textId="77777777" w:rsidTr="00F1E64A">
        <w:trPr>
          <w:trHeight w:val="300"/>
        </w:trPr>
        <w:tc>
          <w:tcPr>
            <w:tcW w:w="2518" w:type="dxa"/>
            <w:tcBorders>
              <w:top w:val="nil"/>
              <w:left w:val="nil"/>
              <w:bottom w:val="dashed" w:sz="6" w:space="0" w:color="auto"/>
              <w:right w:val="nil"/>
            </w:tcBorders>
            <w:shd w:val="clear" w:color="auto" w:fill="305496"/>
            <w:tcMar>
              <w:left w:w="60" w:type="dxa"/>
              <w:right w:w="60" w:type="dxa"/>
            </w:tcMar>
            <w:vAlign w:val="center"/>
          </w:tcPr>
          <w:p w14:paraId="0A878296" w14:textId="485A357E"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Financial Metrics</w:t>
            </w:r>
          </w:p>
        </w:tc>
        <w:tc>
          <w:tcPr>
            <w:tcW w:w="1496" w:type="dxa"/>
            <w:tcBorders>
              <w:top w:val="nil"/>
              <w:left w:val="nil"/>
              <w:bottom w:val="dashed" w:sz="6" w:space="0" w:color="auto"/>
              <w:right w:val="nil"/>
            </w:tcBorders>
            <w:shd w:val="clear" w:color="auto" w:fill="305496"/>
            <w:tcMar>
              <w:left w:w="60" w:type="dxa"/>
              <w:right w:w="60" w:type="dxa"/>
            </w:tcMar>
            <w:vAlign w:val="center"/>
          </w:tcPr>
          <w:p w14:paraId="47A6AADD" w14:textId="526F4260"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Before</w:t>
            </w:r>
          </w:p>
        </w:tc>
        <w:tc>
          <w:tcPr>
            <w:tcW w:w="1688" w:type="dxa"/>
            <w:tcBorders>
              <w:top w:val="nil"/>
              <w:left w:val="nil"/>
              <w:bottom w:val="dashed" w:sz="6" w:space="0" w:color="auto"/>
              <w:right w:val="nil"/>
            </w:tcBorders>
            <w:shd w:val="clear" w:color="auto" w:fill="305496"/>
            <w:tcMar>
              <w:left w:w="60" w:type="dxa"/>
              <w:right w:w="60" w:type="dxa"/>
            </w:tcMar>
            <w:vAlign w:val="center"/>
          </w:tcPr>
          <w:p w14:paraId="4D8F38DB" w14:textId="603D5A60"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After</w:t>
            </w:r>
          </w:p>
        </w:tc>
        <w:tc>
          <w:tcPr>
            <w:tcW w:w="3658" w:type="dxa"/>
            <w:tcBorders>
              <w:top w:val="nil"/>
              <w:left w:val="nil"/>
              <w:bottom w:val="dashed" w:sz="6" w:space="0" w:color="auto"/>
              <w:right w:val="nil"/>
            </w:tcBorders>
            <w:shd w:val="clear" w:color="auto" w:fill="305496"/>
            <w:tcMar>
              <w:left w:w="60" w:type="dxa"/>
              <w:right w:w="60" w:type="dxa"/>
            </w:tcMar>
            <w:vAlign w:val="center"/>
          </w:tcPr>
          <w:p w14:paraId="1CCD935A" w14:textId="659EEC87"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Notes</w:t>
            </w:r>
          </w:p>
        </w:tc>
      </w:tr>
      <w:tr w:rsidR="00F1E64A" w14:paraId="6FCA6036"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073BBCC4" w14:textId="2B3605E1"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Revenue</w:t>
            </w:r>
          </w:p>
        </w:tc>
        <w:tc>
          <w:tcPr>
            <w:tcW w:w="1496" w:type="dxa"/>
            <w:tcBorders>
              <w:top w:val="dashed" w:sz="6" w:space="0" w:color="auto"/>
              <w:left w:val="nil"/>
              <w:bottom w:val="dashed" w:sz="6" w:space="0" w:color="auto"/>
              <w:right w:val="nil"/>
            </w:tcBorders>
            <w:tcMar>
              <w:left w:w="60" w:type="dxa"/>
              <w:right w:w="60" w:type="dxa"/>
            </w:tcMar>
            <w:vAlign w:val="center"/>
          </w:tcPr>
          <w:p w14:paraId="1079226F" w14:textId="1C0E1CEF"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02A7F430" w14:textId="3DA2A108"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0A260FEE" w14:textId="3B272832"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 xml:space="preserve">Total revenue </w:t>
            </w:r>
          </w:p>
        </w:tc>
      </w:tr>
      <w:tr w:rsidR="00F1E64A" w14:paraId="78984BC6"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35958D13" w14:textId="6F557CDA"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lastRenderedPageBreak/>
              <w:t>Gross Profit</w:t>
            </w:r>
          </w:p>
        </w:tc>
        <w:tc>
          <w:tcPr>
            <w:tcW w:w="1496" w:type="dxa"/>
            <w:tcBorders>
              <w:top w:val="dashed" w:sz="6" w:space="0" w:color="auto"/>
              <w:left w:val="nil"/>
              <w:bottom w:val="dashed" w:sz="6" w:space="0" w:color="auto"/>
              <w:right w:val="nil"/>
            </w:tcBorders>
            <w:tcMar>
              <w:left w:w="60" w:type="dxa"/>
              <w:right w:w="60" w:type="dxa"/>
            </w:tcMar>
            <w:vAlign w:val="center"/>
          </w:tcPr>
          <w:p w14:paraId="23872502" w14:textId="7CAB8B0B"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7D31160B" w14:textId="6B7AB8CF"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562879E4" w14:textId="0F5BD30C"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Revenue minus cost of goods sold (COGS)</w:t>
            </w:r>
          </w:p>
        </w:tc>
      </w:tr>
      <w:tr w:rsidR="00F1E64A" w14:paraId="336B0049"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0E3152D5" w14:textId="44872B2E"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EBITDA</w:t>
            </w:r>
          </w:p>
        </w:tc>
        <w:tc>
          <w:tcPr>
            <w:tcW w:w="1496" w:type="dxa"/>
            <w:tcBorders>
              <w:top w:val="dashed" w:sz="6" w:space="0" w:color="auto"/>
              <w:left w:val="nil"/>
              <w:bottom w:val="dashed" w:sz="6" w:space="0" w:color="auto"/>
              <w:right w:val="nil"/>
            </w:tcBorders>
            <w:tcMar>
              <w:left w:w="60" w:type="dxa"/>
              <w:right w:w="60" w:type="dxa"/>
            </w:tcMar>
            <w:vAlign w:val="center"/>
          </w:tcPr>
          <w:p w14:paraId="7764EA14" w14:textId="2408B68D"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7B1D7300" w14:textId="375D6D7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748982C" w14:textId="3D90A77D"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Earnings before interest, taxes, depreciation, and amortization</w:t>
            </w:r>
          </w:p>
        </w:tc>
      </w:tr>
      <w:tr w:rsidR="00F1E64A" w14:paraId="38D7C9E6"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63C551BF" w14:textId="716A7CAC"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Net Income</w:t>
            </w:r>
          </w:p>
        </w:tc>
        <w:tc>
          <w:tcPr>
            <w:tcW w:w="1496" w:type="dxa"/>
            <w:tcBorders>
              <w:top w:val="dashed" w:sz="6" w:space="0" w:color="auto"/>
              <w:left w:val="nil"/>
              <w:bottom w:val="dashed" w:sz="6" w:space="0" w:color="auto"/>
              <w:right w:val="nil"/>
            </w:tcBorders>
            <w:tcMar>
              <w:left w:w="60" w:type="dxa"/>
              <w:right w:w="60" w:type="dxa"/>
            </w:tcMar>
            <w:vAlign w:val="center"/>
          </w:tcPr>
          <w:p w14:paraId="7E22E6CB" w14:textId="76E1038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61618E51" w14:textId="6EF9F1D4"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6888E79A" w14:textId="620C4210"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Profit after all expenses and taxes</w:t>
            </w:r>
          </w:p>
        </w:tc>
      </w:tr>
      <w:tr w:rsidR="00F1E64A" w14:paraId="2E97CD4A"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00A9BF6B" w14:textId="4E64A550"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Operating Expenses</w:t>
            </w:r>
          </w:p>
        </w:tc>
        <w:tc>
          <w:tcPr>
            <w:tcW w:w="1496" w:type="dxa"/>
            <w:tcBorders>
              <w:top w:val="dashed" w:sz="6" w:space="0" w:color="auto"/>
              <w:left w:val="nil"/>
              <w:bottom w:val="dashed" w:sz="6" w:space="0" w:color="auto"/>
              <w:right w:val="nil"/>
            </w:tcBorders>
            <w:tcMar>
              <w:left w:w="60" w:type="dxa"/>
              <w:right w:w="60" w:type="dxa"/>
            </w:tcMar>
            <w:vAlign w:val="center"/>
          </w:tcPr>
          <w:p w14:paraId="6194302D" w14:textId="2C21129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2B303BFD" w14:textId="51FB412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75AEBEE" w14:textId="395E83E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Total expenses for operations</w:t>
            </w:r>
          </w:p>
        </w:tc>
      </w:tr>
      <w:tr w:rsidR="00F1E64A" w14:paraId="22097169"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1036B2C7" w14:textId="5F4587A6"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Cash Flow</w:t>
            </w:r>
          </w:p>
        </w:tc>
        <w:tc>
          <w:tcPr>
            <w:tcW w:w="1496" w:type="dxa"/>
            <w:tcBorders>
              <w:top w:val="dashed" w:sz="6" w:space="0" w:color="auto"/>
              <w:left w:val="nil"/>
              <w:bottom w:val="dashed" w:sz="6" w:space="0" w:color="auto"/>
              <w:right w:val="nil"/>
            </w:tcBorders>
            <w:tcMar>
              <w:left w:w="60" w:type="dxa"/>
              <w:right w:w="60" w:type="dxa"/>
            </w:tcMar>
            <w:vAlign w:val="center"/>
          </w:tcPr>
          <w:p w14:paraId="5A6E7152" w14:textId="7A5A47E6"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59FDBC7D" w14:textId="4A4EF2F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B32C373" w14:textId="1CDE79F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Net amount of cash inflow/outflow</w:t>
            </w:r>
          </w:p>
        </w:tc>
      </w:tr>
      <w:tr w:rsidR="00F1E64A" w14:paraId="6660D2D6"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0DA02C9E" w14:textId="6B021D6F"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Number of Consumers</w:t>
            </w:r>
          </w:p>
        </w:tc>
        <w:tc>
          <w:tcPr>
            <w:tcW w:w="1496" w:type="dxa"/>
            <w:tcBorders>
              <w:top w:val="dashed" w:sz="6" w:space="0" w:color="auto"/>
              <w:left w:val="nil"/>
              <w:bottom w:val="dashed" w:sz="6" w:space="0" w:color="auto"/>
              <w:right w:val="nil"/>
            </w:tcBorders>
            <w:tcMar>
              <w:left w:w="60" w:type="dxa"/>
              <w:right w:w="60" w:type="dxa"/>
            </w:tcMar>
            <w:vAlign w:val="center"/>
          </w:tcPr>
          <w:p w14:paraId="2B720504" w14:textId="7EEFA30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79CDC985" w14:textId="70485947"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5D6557D5" w14:textId="7B03AC90"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Number of clients</w:t>
            </w:r>
          </w:p>
        </w:tc>
      </w:tr>
      <w:tr w:rsidR="00F1E64A" w14:paraId="08134999"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38F42EEC" w14:textId="4FA63C54"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Number of Offtake Agreements</w:t>
            </w:r>
          </w:p>
        </w:tc>
        <w:tc>
          <w:tcPr>
            <w:tcW w:w="1496" w:type="dxa"/>
            <w:tcBorders>
              <w:top w:val="dashed" w:sz="6" w:space="0" w:color="auto"/>
              <w:left w:val="nil"/>
              <w:bottom w:val="dashed" w:sz="6" w:space="0" w:color="auto"/>
              <w:right w:val="nil"/>
            </w:tcBorders>
            <w:tcMar>
              <w:left w:w="60" w:type="dxa"/>
              <w:right w:w="60" w:type="dxa"/>
            </w:tcMar>
            <w:vAlign w:val="center"/>
          </w:tcPr>
          <w:p w14:paraId="051D8FF2" w14:textId="0A29E347"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243B03D2" w14:textId="2DF730BB"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7D3D7204" w14:textId="12A12CD0"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Number of purchase agreements signed</w:t>
            </w:r>
          </w:p>
        </w:tc>
      </w:tr>
      <w:tr w:rsidR="00F1E64A" w14:paraId="4BF6384B"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6760BBF1" w14:textId="658C6E71"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Client Growth Ratio YoY</w:t>
            </w:r>
          </w:p>
        </w:tc>
        <w:tc>
          <w:tcPr>
            <w:tcW w:w="1496" w:type="dxa"/>
            <w:tcBorders>
              <w:top w:val="dashed" w:sz="6" w:space="0" w:color="auto"/>
              <w:left w:val="nil"/>
              <w:bottom w:val="dashed" w:sz="6" w:space="0" w:color="auto"/>
              <w:right w:val="nil"/>
            </w:tcBorders>
            <w:tcMar>
              <w:left w:w="60" w:type="dxa"/>
              <w:right w:w="60" w:type="dxa"/>
            </w:tcMar>
            <w:vAlign w:val="center"/>
          </w:tcPr>
          <w:p w14:paraId="60491241" w14:textId="7627FB76"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5EE9C703" w14:textId="69C8A25C"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0AA30A8" w14:textId="654F2BD2"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Increase of clients in the last year</w:t>
            </w:r>
          </w:p>
        </w:tc>
      </w:tr>
      <w:tr w:rsidR="00F1E64A" w14:paraId="316C67E5"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6A2ECCEF" w14:textId="4A9663E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Gross Margin Ratio</w:t>
            </w:r>
          </w:p>
        </w:tc>
        <w:tc>
          <w:tcPr>
            <w:tcW w:w="1496" w:type="dxa"/>
            <w:tcBorders>
              <w:top w:val="dashed" w:sz="6" w:space="0" w:color="auto"/>
              <w:left w:val="nil"/>
              <w:bottom w:val="dashed" w:sz="6" w:space="0" w:color="auto"/>
              <w:right w:val="nil"/>
            </w:tcBorders>
            <w:tcMar>
              <w:left w:w="60" w:type="dxa"/>
              <w:right w:w="60" w:type="dxa"/>
            </w:tcMar>
            <w:vAlign w:val="center"/>
          </w:tcPr>
          <w:p w14:paraId="5A830785" w14:textId="329D7FC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7F09A1F8" w14:textId="0EF98DA9"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7EEA03F4" w14:textId="5304264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Gross Profit / Revenue x 100</w:t>
            </w:r>
          </w:p>
        </w:tc>
      </w:tr>
      <w:tr w:rsidR="00F1E64A" w14:paraId="68A31624"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6C8476E5" w14:textId="2E54683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Gross Ebitda Ratio</w:t>
            </w:r>
          </w:p>
        </w:tc>
        <w:tc>
          <w:tcPr>
            <w:tcW w:w="1496" w:type="dxa"/>
            <w:tcBorders>
              <w:top w:val="dashed" w:sz="6" w:space="0" w:color="auto"/>
              <w:left w:val="nil"/>
              <w:bottom w:val="dashed" w:sz="6" w:space="0" w:color="auto"/>
              <w:right w:val="nil"/>
            </w:tcBorders>
            <w:tcMar>
              <w:left w:w="60" w:type="dxa"/>
              <w:right w:w="60" w:type="dxa"/>
            </w:tcMar>
            <w:vAlign w:val="center"/>
          </w:tcPr>
          <w:p w14:paraId="09287512" w14:textId="5E0DCB5F"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68B868AC" w14:textId="3528AF3F"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49400A34" w14:textId="655AC62B"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Ebitda / Gross Profit x 100</w:t>
            </w:r>
          </w:p>
        </w:tc>
      </w:tr>
      <w:tr w:rsidR="00F1E64A" w14:paraId="37FCF3DC"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1C6D55A5" w14:textId="21DE4A3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Debt-to-Equity Ratio</w:t>
            </w:r>
          </w:p>
        </w:tc>
        <w:tc>
          <w:tcPr>
            <w:tcW w:w="1496" w:type="dxa"/>
            <w:tcBorders>
              <w:top w:val="dashed" w:sz="6" w:space="0" w:color="auto"/>
              <w:left w:val="nil"/>
              <w:bottom w:val="dashed" w:sz="6" w:space="0" w:color="auto"/>
              <w:right w:val="nil"/>
            </w:tcBorders>
            <w:tcMar>
              <w:left w:w="60" w:type="dxa"/>
              <w:right w:w="60" w:type="dxa"/>
            </w:tcMar>
            <w:vAlign w:val="center"/>
          </w:tcPr>
          <w:p w14:paraId="2325C953" w14:textId="6452968E"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5F4BCDFF" w14:textId="1E6F8A44"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05526816" w14:textId="6CEEB9B5"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Describe financial leverage in the last FY</w:t>
            </w:r>
          </w:p>
        </w:tc>
      </w:tr>
      <w:tr w:rsidR="00F1E64A" w14:paraId="1BAAF88A"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1DB46621" w14:textId="5016155E"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Customer Acquisition Cost (CAC)</w:t>
            </w:r>
          </w:p>
        </w:tc>
        <w:tc>
          <w:tcPr>
            <w:tcW w:w="1496" w:type="dxa"/>
            <w:tcBorders>
              <w:top w:val="dashed" w:sz="6" w:space="0" w:color="auto"/>
              <w:left w:val="nil"/>
              <w:bottom w:val="dashed" w:sz="6" w:space="0" w:color="auto"/>
              <w:right w:val="nil"/>
            </w:tcBorders>
            <w:tcMar>
              <w:left w:w="60" w:type="dxa"/>
              <w:right w:w="60" w:type="dxa"/>
            </w:tcMar>
            <w:vAlign w:val="center"/>
          </w:tcPr>
          <w:p w14:paraId="46C7AC9F" w14:textId="491304AC"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3CEC951D" w14:textId="122D3D11"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ED0120F" w14:textId="2529FF5B"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Cost of acquiring a new customer</w:t>
            </w:r>
          </w:p>
        </w:tc>
      </w:tr>
      <w:tr w:rsidR="00F1E64A" w14:paraId="0C694041"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5ADB0245" w14:textId="6810D286"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Lifetime Value (LTV)</w:t>
            </w:r>
          </w:p>
        </w:tc>
        <w:tc>
          <w:tcPr>
            <w:tcW w:w="1496" w:type="dxa"/>
            <w:tcBorders>
              <w:top w:val="dashed" w:sz="6" w:space="0" w:color="auto"/>
              <w:left w:val="nil"/>
              <w:bottom w:val="dashed" w:sz="6" w:space="0" w:color="auto"/>
              <w:right w:val="nil"/>
            </w:tcBorders>
            <w:tcMar>
              <w:left w:w="60" w:type="dxa"/>
              <w:right w:w="60" w:type="dxa"/>
            </w:tcMar>
            <w:vAlign w:val="center"/>
          </w:tcPr>
          <w:p w14:paraId="01ABEF11" w14:textId="0A8E2759"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4D615797" w14:textId="0E24ED25"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4BC591E8" w14:textId="1DDE3EC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Total revenue expected from a customer</w:t>
            </w:r>
          </w:p>
        </w:tc>
      </w:tr>
      <w:tr w:rsidR="00F1E64A" w14:paraId="1975BE1E" w14:textId="77777777" w:rsidTr="00F1E64A">
        <w:trPr>
          <w:trHeight w:val="300"/>
        </w:trPr>
        <w:tc>
          <w:tcPr>
            <w:tcW w:w="2518" w:type="dxa"/>
            <w:tcBorders>
              <w:top w:val="dashed" w:sz="6" w:space="0" w:color="auto"/>
              <w:left w:val="nil"/>
              <w:bottom w:val="dashed" w:sz="6" w:space="0" w:color="auto"/>
              <w:right w:val="nil"/>
            </w:tcBorders>
            <w:tcMar>
              <w:left w:w="60" w:type="dxa"/>
              <w:right w:w="60" w:type="dxa"/>
            </w:tcMar>
            <w:vAlign w:val="center"/>
          </w:tcPr>
          <w:p w14:paraId="4437164A" w14:textId="63F4326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Investment Achieved</w:t>
            </w:r>
          </w:p>
        </w:tc>
        <w:tc>
          <w:tcPr>
            <w:tcW w:w="1496" w:type="dxa"/>
            <w:tcBorders>
              <w:top w:val="dashed" w:sz="6" w:space="0" w:color="auto"/>
              <w:left w:val="nil"/>
              <w:bottom w:val="dashed" w:sz="6" w:space="0" w:color="auto"/>
              <w:right w:val="nil"/>
            </w:tcBorders>
            <w:tcMar>
              <w:left w:w="60" w:type="dxa"/>
              <w:right w:w="60" w:type="dxa"/>
            </w:tcMar>
            <w:vAlign w:val="center"/>
          </w:tcPr>
          <w:p w14:paraId="1A2F33D0" w14:textId="2FDC7A18"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688" w:type="dxa"/>
            <w:tcBorders>
              <w:top w:val="dashed" w:sz="6" w:space="0" w:color="auto"/>
              <w:left w:val="nil"/>
              <w:bottom w:val="dashed" w:sz="6" w:space="0" w:color="auto"/>
              <w:right w:val="nil"/>
            </w:tcBorders>
            <w:tcMar>
              <w:left w:w="60" w:type="dxa"/>
              <w:right w:w="60" w:type="dxa"/>
            </w:tcMar>
            <w:vAlign w:val="center"/>
          </w:tcPr>
          <w:p w14:paraId="32FF762C" w14:textId="03832E3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3658" w:type="dxa"/>
            <w:tcBorders>
              <w:top w:val="dashed" w:sz="6" w:space="0" w:color="auto"/>
              <w:left w:val="nil"/>
              <w:bottom w:val="dashed" w:sz="6" w:space="0" w:color="auto"/>
              <w:right w:val="nil"/>
            </w:tcBorders>
            <w:tcMar>
              <w:left w:w="60" w:type="dxa"/>
              <w:right w:w="60" w:type="dxa"/>
            </w:tcMar>
            <w:vAlign w:val="center"/>
          </w:tcPr>
          <w:p w14:paraId="38C7A750" w14:textId="47294F2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Investment achieved through equity, debt and mixed instruments</w:t>
            </w:r>
          </w:p>
        </w:tc>
      </w:tr>
    </w:tbl>
    <w:p w14:paraId="647C0EC5" w14:textId="5FBCC8A0" w:rsidR="00F1E64A" w:rsidRDefault="00F1E64A" w:rsidP="00F1E64A">
      <w:pPr>
        <w:jc w:val="both"/>
        <w:rPr>
          <w:rFonts w:cstheme="minorBidi"/>
          <w:color w:val="000000" w:themeColor="text1"/>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1"/>
        <w:gridCol w:w="1275"/>
        <w:gridCol w:w="736"/>
        <w:gridCol w:w="736"/>
        <w:gridCol w:w="861"/>
        <w:gridCol w:w="861"/>
        <w:gridCol w:w="3620"/>
      </w:tblGrid>
      <w:tr w:rsidR="00F1E64A" w14:paraId="0C4F21DD" w14:textId="77777777" w:rsidTr="58A2352A">
        <w:trPr>
          <w:trHeight w:val="300"/>
        </w:trPr>
        <w:tc>
          <w:tcPr>
            <w:tcW w:w="2546" w:type="dxa"/>
            <w:gridSpan w:val="2"/>
            <w:tcBorders>
              <w:top w:val="nil"/>
              <w:left w:val="nil"/>
              <w:bottom w:val="nil"/>
              <w:right w:val="nil"/>
            </w:tcBorders>
            <w:shd w:val="clear" w:color="auto" w:fill="305496"/>
            <w:tcMar>
              <w:left w:w="60" w:type="dxa"/>
              <w:right w:w="60" w:type="dxa"/>
            </w:tcMar>
            <w:vAlign w:val="center"/>
          </w:tcPr>
          <w:p w14:paraId="4D785F16" w14:textId="0DA02C8D"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ESG Metrics</w:t>
            </w:r>
          </w:p>
        </w:tc>
        <w:tc>
          <w:tcPr>
            <w:tcW w:w="1472" w:type="dxa"/>
            <w:gridSpan w:val="2"/>
            <w:tcBorders>
              <w:top w:val="nil"/>
              <w:left w:val="nil"/>
              <w:bottom w:val="nil"/>
              <w:right w:val="nil"/>
            </w:tcBorders>
            <w:shd w:val="clear" w:color="auto" w:fill="305496"/>
            <w:tcMar>
              <w:left w:w="60" w:type="dxa"/>
              <w:right w:w="60" w:type="dxa"/>
            </w:tcMar>
            <w:vAlign w:val="center"/>
          </w:tcPr>
          <w:p w14:paraId="1FDCF228" w14:textId="57A664AB" w:rsidR="00F1E64A" w:rsidRDefault="22F72F06" w:rsidP="58A2352A">
            <w:pPr>
              <w:spacing w:after="0" w:line="240" w:lineRule="auto"/>
              <w:jc w:val="center"/>
              <w:rPr>
                <w:rFonts w:cstheme="minorBidi"/>
                <w:b/>
                <w:bCs/>
                <w:color w:val="FFFFFF" w:themeColor="background1"/>
                <w:szCs w:val="22"/>
              </w:rPr>
            </w:pPr>
            <w:r w:rsidRPr="58A2352A">
              <w:rPr>
                <w:rFonts w:cstheme="minorBidi"/>
                <w:b/>
                <w:bCs/>
                <w:color w:val="FFFFFF" w:themeColor="background1"/>
                <w:szCs w:val="22"/>
              </w:rPr>
              <w:t>Before</w:t>
            </w:r>
            <w:r w:rsidR="4AAD3D25" w:rsidRPr="58A2352A">
              <w:rPr>
                <w:rFonts w:cstheme="minorBidi"/>
                <w:b/>
                <w:bCs/>
                <w:color w:val="FFFFFF" w:themeColor="background1"/>
                <w:szCs w:val="22"/>
              </w:rPr>
              <w:t xml:space="preserve"> P4G </w:t>
            </w:r>
            <w:r w:rsidR="4D91EF62" w:rsidRPr="58A2352A">
              <w:rPr>
                <w:rFonts w:cstheme="minorBidi"/>
                <w:b/>
                <w:bCs/>
                <w:color w:val="FFFFFF" w:themeColor="background1"/>
                <w:szCs w:val="22"/>
              </w:rPr>
              <w:t>Funding</w:t>
            </w:r>
          </w:p>
        </w:tc>
        <w:tc>
          <w:tcPr>
            <w:tcW w:w="1722" w:type="dxa"/>
            <w:gridSpan w:val="2"/>
            <w:tcBorders>
              <w:top w:val="nil"/>
              <w:left w:val="nil"/>
              <w:bottom w:val="nil"/>
              <w:right w:val="nil"/>
            </w:tcBorders>
            <w:shd w:val="clear" w:color="auto" w:fill="305496"/>
            <w:tcMar>
              <w:left w:w="60" w:type="dxa"/>
              <w:right w:w="60" w:type="dxa"/>
            </w:tcMar>
            <w:vAlign w:val="center"/>
          </w:tcPr>
          <w:p w14:paraId="0F37E506" w14:textId="14F203ED" w:rsidR="00F1E64A" w:rsidRDefault="22F72F06" w:rsidP="58A2352A">
            <w:pPr>
              <w:spacing w:after="0" w:line="240" w:lineRule="auto"/>
              <w:jc w:val="center"/>
              <w:rPr>
                <w:rFonts w:cstheme="minorBidi"/>
                <w:b/>
                <w:bCs/>
                <w:color w:val="FFFFFF" w:themeColor="background1"/>
                <w:szCs w:val="22"/>
              </w:rPr>
            </w:pPr>
            <w:r w:rsidRPr="58A2352A">
              <w:rPr>
                <w:rFonts w:cstheme="minorBidi"/>
                <w:b/>
                <w:bCs/>
                <w:color w:val="FFFFFF" w:themeColor="background1"/>
                <w:szCs w:val="22"/>
              </w:rPr>
              <w:t>After</w:t>
            </w:r>
            <w:r w:rsidR="2240DEDD" w:rsidRPr="58A2352A">
              <w:rPr>
                <w:rFonts w:cstheme="minorBidi"/>
                <w:b/>
                <w:bCs/>
                <w:color w:val="FFFFFF" w:themeColor="background1"/>
                <w:szCs w:val="22"/>
              </w:rPr>
              <w:t xml:space="preserve"> P4G </w:t>
            </w:r>
            <w:r w:rsidR="658D7077" w:rsidRPr="58A2352A">
              <w:rPr>
                <w:rFonts w:cstheme="minorBidi"/>
                <w:b/>
                <w:bCs/>
                <w:color w:val="FFFFFF" w:themeColor="background1"/>
                <w:szCs w:val="22"/>
              </w:rPr>
              <w:t>Funding</w:t>
            </w:r>
          </w:p>
        </w:tc>
        <w:tc>
          <w:tcPr>
            <w:tcW w:w="3620" w:type="dxa"/>
            <w:tcBorders>
              <w:top w:val="nil"/>
              <w:left w:val="nil"/>
              <w:bottom w:val="nil"/>
              <w:right w:val="nil"/>
            </w:tcBorders>
            <w:shd w:val="clear" w:color="auto" w:fill="305496"/>
            <w:tcMar>
              <w:left w:w="60" w:type="dxa"/>
              <w:right w:w="60" w:type="dxa"/>
            </w:tcMar>
            <w:vAlign w:val="center"/>
          </w:tcPr>
          <w:p w14:paraId="5164BE72" w14:textId="528A79D0" w:rsidR="00F1E64A" w:rsidRDefault="00F1E64A" w:rsidP="00F1E64A">
            <w:pPr>
              <w:spacing w:after="0" w:line="240" w:lineRule="auto"/>
              <w:jc w:val="center"/>
              <w:rPr>
                <w:rFonts w:cstheme="minorBidi"/>
                <w:color w:val="FFFFFF" w:themeColor="background1"/>
                <w:szCs w:val="22"/>
              </w:rPr>
            </w:pPr>
            <w:r w:rsidRPr="00F1E64A">
              <w:rPr>
                <w:rFonts w:cstheme="minorBidi"/>
                <w:b/>
                <w:bCs/>
                <w:color w:val="FFFFFF" w:themeColor="background1"/>
                <w:szCs w:val="22"/>
              </w:rPr>
              <w:t>Notes</w:t>
            </w:r>
          </w:p>
        </w:tc>
      </w:tr>
      <w:tr w:rsidR="00F1E64A" w14:paraId="5CD40A1E"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31985273" w14:textId="69244541"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Carbon Emissions (tonnes CO2e)</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0C602FB1" w14:textId="197503BD"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 tonnes</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1A779AF5" w14:textId="6D3B932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 tonnes</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37C979EC" w14:textId="114DF69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Total CO2 emissions in the last FY</w:t>
            </w:r>
          </w:p>
        </w:tc>
      </w:tr>
      <w:tr w:rsidR="00F1E64A" w14:paraId="2383E4E6"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2599B153" w14:textId="5C2D7965"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People positively affected</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662DE3BA" w14:textId="1A823EF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Number</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7F02D96C" w14:textId="7E6C4A58"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Number</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38BC2B26" w14:textId="3D8F6DB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 xml:space="preserve">These are individuals directly and indirectly positively affected by climate resilience or adaptation related to the climate business commercial partner product or solution.   </w:t>
            </w:r>
          </w:p>
        </w:tc>
      </w:tr>
      <w:tr w:rsidR="00F1E64A" w14:paraId="017836FD"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72111DF8" w14:textId="429D4DD8"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 xml:space="preserve">Jobs created </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4C5769FB" w14:textId="5BD1853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Number</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04C70AB5" w14:textId="4ADCD50B"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Number</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02BC7BA7" w14:textId="78180FA4"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Jobs created outside of the commercial partner</w:t>
            </w:r>
          </w:p>
        </w:tc>
      </w:tr>
      <w:tr w:rsidR="00F1E64A" w14:paraId="68563C95"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2E2DB386" w14:textId="6E5DB139"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Gender Diversity (% female employees)</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239D8BC5" w14:textId="45164087"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1A002DAD" w14:textId="5D9A629B"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6EBCE929" w14:textId="07BEB79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Percentage of female employees</w:t>
            </w:r>
          </w:p>
        </w:tc>
      </w:tr>
      <w:tr w:rsidR="00F1E64A" w14:paraId="79749820"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77B932CD" w14:textId="0523FDF3"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Compliance and Risk Management</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4C22320D" w14:textId="286CE8F4"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Describe</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48E2177A" w14:textId="2731A87A"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Describe</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6AE87613" w14:textId="37146230"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Compliance Report (Laws and Regulations)</w:t>
            </w:r>
            <w:r>
              <w:br/>
            </w:r>
            <w:r w:rsidRPr="00F1E64A">
              <w:rPr>
                <w:rFonts w:cstheme="minorBidi"/>
                <w:color w:val="000000" w:themeColor="text1"/>
                <w:szCs w:val="22"/>
              </w:rPr>
              <w:t xml:space="preserve">Risk practices (processes and responsabilities) </w:t>
            </w:r>
            <w:r>
              <w:br/>
            </w:r>
            <w:r w:rsidRPr="00F1E64A">
              <w:rPr>
                <w:rFonts w:cstheme="minorBidi"/>
                <w:color w:val="000000" w:themeColor="text1"/>
                <w:szCs w:val="22"/>
              </w:rPr>
              <w:t>Risk management documentation (identification, mitigation an control)</w:t>
            </w:r>
            <w:r>
              <w:br/>
            </w:r>
            <w:r w:rsidRPr="00F1E64A">
              <w:rPr>
                <w:rFonts w:cstheme="minorBidi"/>
                <w:color w:val="000000" w:themeColor="text1"/>
                <w:szCs w:val="22"/>
              </w:rPr>
              <w:t>Audit policies (internal - external)</w:t>
            </w:r>
          </w:p>
        </w:tc>
      </w:tr>
      <w:tr w:rsidR="00F1E64A" w14:paraId="49F2E8B2"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56508D4F" w14:textId="6C4327BF"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 xml:space="preserve">ESG Reporting and </w:t>
            </w:r>
            <w:r w:rsidRPr="00F1E64A">
              <w:rPr>
                <w:rFonts w:cstheme="minorBidi"/>
                <w:color w:val="000000" w:themeColor="text1"/>
                <w:szCs w:val="22"/>
              </w:rPr>
              <w:lastRenderedPageBreak/>
              <w:t>Transparency</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0786619D" w14:textId="16471464"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lastRenderedPageBreak/>
              <w:t>Describe</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019D29C6" w14:textId="5ADEFAE0"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Describe</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46A89A14" w14:textId="5677024E"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 xml:space="preserve">Frequency of ESG reporting (# reports per year), </w:t>
            </w:r>
            <w:r>
              <w:br/>
            </w:r>
            <w:r w:rsidRPr="00F1E64A">
              <w:rPr>
                <w:rFonts w:cstheme="minorBidi"/>
                <w:color w:val="000000" w:themeColor="text1"/>
                <w:szCs w:val="22"/>
              </w:rPr>
              <w:t>Adherance to Standards (GRI, SASB, TCFD)</w:t>
            </w:r>
            <w:r>
              <w:br/>
            </w:r>
            <w:r w:rsidRPr="00F1E64A">
              <w:rPr>
                <w:rFonts w:cstheme="minorBidi"/>
                <w:color w:val="000000" w:themeColor="text1"/>
                <w:szCs w:val="22"/>
              </w:rPr>
              <w:lastRenderedPageBreak/>
              <w:t>Clear governance structure</w:t>
            </w:r>
            <w:r>
              <w:br/>
            </w:r>
            <w:r w:rsidRPr="00F1E64A">
              <w:rPr>
                <w:rFonts w:cstheme="minorBidi"/>
                <w:color w:val="000000" w:themeColor="text1"/>
                <w:szCs w:val="22"/>
              </w:rPr>
              <w:t>Integration with financial reporting</w:t>
            </w:r>
          </w:p>
        </w:tc>
      </w:tr>
      <w:tr w:rsidR="00F1E64A" w14:paraId="77EE678E" w14:textId="77777777" w:rsidTr="58A2352A">
        <w:trPr>
          <w:trHeight w:val="300"/>
        </w:trPr>
        <w:tc>
          <w:tcPr>
            <w:tcW w:w="1271" w:type="dxa"/>
            <w:tcBorders>
              <w:top w:val="dashed" w:sz="6" w:space="0" w:color="auto"/>
              <w:left w:val="nil"/>
              <w:bottom w:val="dashed" w:sz="6" w:space="0" w:color="auto"/>
              <w:right w:val="nil"/>
            </w:tcBorders>
            <w:tcMar>
              <w:left w:w="60" w:type="dxa"/>
              <w:right w:w="60" w:type="dxa"/>
            </w:tcMar>
            <w:vAlign w:val="center"/>
          </w:tcPr>
          <w:p w14:paraId="2ACA33AF" w14:textId="40E26312"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lastRenderedPageBreak/>
              <w:t>Board Diversity</w:t>
            </w:r>
          </w:p>
        </w:tc>
        <w:tc>
          <w:tcPr>
            <w:tcW w:w="2011" w:type="dxa"/>
            <w:gridSpan w:val="2"/>
            <w:tcBorders>
              <w:top w:val="dashed" w:sz="6" w:space="0" w:color="auto"/>
              <w:left w:val="nil"/>
              <w:bottom w:val="dashed" w:sz="6" w:space="0" w:color="auto"/>
              <w:right w:val="nil"/>
            </w:tcBorders>
            <w:tcMar>
              <w:left w:w="60" w:type="dxa"/>
              <w:right w:w="60" w:type="dxa"/>
            </w:tcMar>
            <w:vAlign w:val="center"/>
          </w:tcPr>
          <w:p w14:paraId="33A6BD9D" w14:textId="4688247C"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X%</w:t>
            </w:r>
          </w:p>
        </w:tc>
        <w:tc>
          <w:tcPr>
            <w:tcW w:w="1597" w:type="dxa"/>
            <w:gridSpan w:val="2"/>
            <w:tcBorders>
              <w:top w:val="dashed" w:sz="6" w:space="0" w:color="auto"/>
              <w:left w:val="nil"/>
              <w:bottom w:val="dashed" w:sz="6" w:space="0" w:color="auto"/>
              <w:right w:val="nil"/>
            </w:tcBorders>
            <w:tcMar>
              <w:left w:w="60" w:type="dxa"/>
              <w:right w:w="60" w:type="dxa"/>
            </w:tcMar>
            <w:vAlign w:val="center"/>
          </w:tcPr>
          <w:p w14:paraId="0FBF3C8E" w14:textId="46D41611" w:rsidR="00F1E64A" w:rsidRDefault="00F1E64A" w:rsidP="00F1E64A">
            <w:pPr>
              <w:spacing w:after="0" w:line="240" w:lineRule="auto"/>
              <w:jc w:val="center"/>
              <w:rPr>
                <w:rFonts w:cstheme="minorBidi"/>
                <w:color w:val="000000" w:themeColor="text1"/>
                <w:szCs w:val="22"/>
              </w:rPr>
            </w:pPr>
            <w:r w:rsidRPr="00F1E64A">
              <w:rPr>
                <w:rFonts w:cstheme="minorBidi"/>
                <w:color w:val="000000" w:themeColor="text1"/>
                <w:szCs w:val="22"/>
              </w:rPr>
              <w:t>Y%</w:t>
            </w:r>
          </w:p>
        </w:tc>
        <w:tc>
          <w:tcPr>
            <w:tcW w:w="4481" w:type="dxa"/>
            <w:gridSpan w:val="2"/>
            <w:tcBorders>
              <w:top w:val="dashed" w:sz="6" w:space="0" w:color="auto"/>
              <w:left w:val="nil"/>
              <w:bottom w:val="dashed" w:sz="6" w:space="0" w:color="auto"/>
              <w:right w:val="nil"/>
            </w:tcBorders>
            <w:tcMar>
              <w:left w:w="60" w:type="dxa"/>
              <w:right w:w="60" w:type="dxa"/>
            </w:tcMar>
            <w:vAlign w:val="center"/>
          </w:tcPr>
          <w:p w14:paraId="4B91CD4D" w14:textId="30C4DB35" w:rsidR="00F1E64A" w:rsidRDefault="00F1E64A" w:rsidP="00F1E64A">
            <w:pPr>
              <w:spacing w:after="0" w:line="240" w:lineRule="auto"/>
              <w:rPr>
                <w:rFonts w:cstheme="minorBidi"/>
                <w:color w:val="000000" w:themeColor="text1"/>
                <w:szCs w:val="22"/>
              </w:rPr>
            </w:pPr>
            <w:r w:rsidRPr="00F1E64A">
              <w:rPr>
                <w:rFonts w:cstheme="minorBidi"/>
                <w:color w:val="000000" w:themeColor="text1"/>
                <w:szCs w:val="22"/>
              </w:rPr>
              <w:t>%of Women of the board members</w:t>
            </w:r>
          </w:p>
        </w:tc>
      </w:tr>
    </w:tbl>
    <w:p w14:paraId="64605585" w14:textId="533A74DC" w:rsidR="00F1E64A" w:rsidRDefault="00F1E64A" w:rsidP="67961E1F">
      <w:pPr>
        <w:rPr>
          <w:rFonts w:eastAsia="Calibri" w:cstheme="minorBidi"/>
          <w:b/>
          <w:bCs/>
        </w:rPr>
      </w:pPr>
    </w:p>
    <w:p w14:paraId="074EC6F8" w14:textId="43F07E5D" w:rsidR="08B9AF37" w:rsidRDefault="08B9AF37" w:rsidP="67961E1F">
      <w:pPr>
        <w:spacing w:line="257" w:lineRule="auto"/>
        <w:jc w:val="both"/>
      </w:pPr>
      <w:r w:rsidRPr="67961E1F">
        <w:rPr>
          <w:rFonts w:ascii="Calibri" w:eastAsia="Calibri" w:hAnsi="Calibri" w:cs="Calibri"/>
          <w:b/>
          <w:bCs/>
          <w:color w:val="000000" w:themeColor="text1"/>
          <w:szCs w:val="22"/>
        </w:rPr>
        <w:t>Please include quotes from beneficiaries, pictures, data, video links and infographics as relevant.</w:t>
      </w:r>
    </w:p>
    <w:p w14:paraId="0EB858F4" w14:textId="1FBF7F05" w:rsidR="67961E1F" w:rsidRDefault="67961E1F" w:rsidP="67961E1F">
      <w:pPr>
        <w:rPr>
          <w:rFonts w:eastAsia="Calibri" w:cstheme="minorBidi"/>
          <w:b/>
          <w:bCs/>
        </w:rPr>
      </w:pPr>
    </w:p>
    <w:p w14:paraId="3BF19F70" w14:textId="77777777" w:rsidR="00C00CEE" w:rsidRPr="00BE727D" w:rsidRDefault="00C00CEE" w:rsidP="00C00CEE">
      <w:pPr>
        <w:jc w:val="both"/>
        <w:rPr>
          <w:rFonts w:eastAsia="Segoe UI" w:cstheme="minorHAnsi"/>
          <w:b/>
          <w:bCs/>
          <w:color w:val="000000" w:themeColor="text1"/>
          <w:szCs w:val="22"/>
        </w:rPr>
      </w:pPr>
    </w:p>
    <w:p w14:paraId="444C125B" w14:textId="2D12D418" w:rsidR="00595A49" w:rsidRDefault="00595A49" w:rsidP="0AC9AA6E">
      <w:pPr>
        <w:ind w:left="720"/>
        <w:jc w:val="both"/>
      </w:pPr>
    </w:p>
    <w:sectPr w:rsidR="0059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1311" w14:textId="77777777" w:rsidR="007861CF" w:rsidRDefault="007861CF" w:rsidP="002724B7">
      <w:pPr>
        <w:spacing w:after="0" w:line="240" w:lineRule="auto"/>
      </w:pPr>
      <w:r>
        <w:separator/>
      </w:r>
    </w:p>
  </w:endnote>
  <w:endnote w:type="continuationSeparator" w:id="0">
    <w:p w14:paraId="359699FB" w14:textId="77777777" w:rsidR="007861CF" w:rsidRDefault="007861CF" w:rsidP="002724B7">
      <w:pPr>
        <w:spacing w:after="0" w:line="240" w:lineRule="auto"/>
      </w:pPr>
      <w:r>
        <w:continuationSeparator/>
      </w:r>
    </w:p>
  </w:endnote>
  <w:endnote w:type="continuationNotice" w:id="1">
    <w:p w14:paraId="6411EA69" w14:textId="77777777" w:rsidR="007861CF" w:rsidRDefault="00786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2A4E" w14:textId="77777777" w:rsidR="007861CF" w:rsidRDefault="007861CF" w:rsidP="002724B7">
      <w:pPr>
        <w:spacing w:after="0" w:line="240" w:lineRule="auto"/>
      </w:pPr>
      <w:r>
        <w:separator/>
      </w:r>
    </w:p>
  </w:footnote>
  <w:footnote w:type="continuationSeparator" w:id="0">
    <w:p w14:paraId="4E5B4DA5" w14:textId="77777777" w:rsidR="007861CF" w:rsidRDefault="007861CF" w:rsidP="002724B7">
      <w:pPr>
        <w:spacing w:after="0" w:line="240" w:lineRule="auto"/>
      </w:pPr>
      <w:r>
        <w:continuationSeparator/>
      </w:r>
    </w:p>
  </w:footnote>
  <w:footnote w:type="continuationNotice" w:id="1">
    <w:p w14:paraId="6BB2EBC2" w14:textId="77777777" w:rsidR="007861CF" w:rsidRDefault="007861CF">
      <w:pPr>
        <w:spacing w:after="0" w:line="240" w:lineRule="auto"/>
      </w:pPr>
    </w:p>
  </w:footnote>
  <w:footnote w:id="2">
    <w:p w14:paraId="6E1AD366" w14:textId="14E0B90B" w:rsidR="00AB4CA2" w:rsidRDefault="00AB4CA2">
      <w:pPr>
        <w:pStyle w:val="FootnoteText"/>
      </w:pPr>
      <w:r>
        <w:rPr>
          <w:rStyle w:val="FootnoteReference"/>
        </w:rPr>
        <w:footnoteRef/>
      </w:r>
      <w:r>
        <w:t xml:space="preserve"> Updated March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1AE"/>
    <w:multiLevelType w:val="hybridMultilevel"/>
    <w:tmpl w:val="5296D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47664A"/>
    <w:multiLevelType w:val="hybridMultilevel"/>
    <w:tmpl w:val="82882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F3665"/>
    <w:multiLevelType w:val="hybridMultilevel"/>
    <w:tmpl w:val="E934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C6547"/>
    <w:multiLevelType w:val="hybridMultilevel"/>
    <w:tmpl w:val="6738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F3A8E"/>
    <w:multiLevelType w:val="hybridMultilevel"/>
    <w:tmpl w:val="08586BB2"/>
    <w:lvl w:ilvl="0" w:tplc="1C600FCC">
      <w:start w:val="1"/>
      <w:numFmt w:val="decimal"/>
      <w:lvlText w:val="%1."/>
      <w:lvlJc w:val="left"/>
      <w:pPr>
        <w:ind w:left="72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F11D6F"/>
    <w:multiLevelType w:val="multilevel"/>
    <w:tmpl w:val="A48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463937">
    <w:abstractNumId w:val="1"/>
  </w:num>
  <w:num w:numId="2" w16cid:durableId="336155089">
    <w:abstractNumId w:val="0"/>
  </w:num>
  <w:num w:numId="3" w16cid:durableId="350644175">
    <w:abstractNumId w:val="4"/>
  </w:num>
  <w:num w:numId="4" w16cid:durableId="33237583">
    <w:abstractNumId w:val="5"/>
  </w:num>
  <w:num w:numId="5" w16cid:durableId="91364214">
    <w:abstractNumId w:val="3"/>
  </w:num>
  <w:num w:numId="6" w16cid:durableId="189893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72"/>
    <w:rsid w:val="00071B2F"/>
    <w:rsid w:val="000A4B6E"/>
    <w:rsid w:val="000B3323"/>
    <w:rsid w:val="000C625A"/>
    <w:rsid w:val="000C7540"/>
    <w:rsid w:val="000D4887"/>
    <w:rsid w:val="000F78C3"/>
    <w:rsid w:val="00117BFC"/>
    <w:rsid w:val="001272C9"/>
    <w:rsid w:val="00155E79"/>
    <w:rsid w:val="00167DA8"/>
    <w:rsid w:val="0019795F"/>
    <w:rsid w:val="001B1174"/>
    <w:rsid w:val="001B5D67"/>
    <w:rsid w:val="001C737F"/>
    <w:rsid w:val="001D1A0B"/>
    <w:rsid w:val="00202874"/>
    <w:rsid w:val="00220E17"/>
    <w:rsid w:val="002724B7"/>
    <w:rsid w:val="0028622F"/>
    <w:rsid w:val="002B6836"/>
    <w:rsid w:val="002F63FB"/>
    <w:rsid w:val="0031761B"/>
    <w:rsid w:val="0032446C"/>
    <w:rsid w:val="00363AE7"/>
    <w:rsid w:val="003E0EFB"/>
    <w:rsid w:val="003F70A8"/>
    <w:rsid w:val="00437608"/>
    <w:rsid w:val="004706AD"/>
    <w:rsid w:val="004717CA"/>
    <w:rsid w:val="00472958"/>
    <w:rsid w:val="004A4EA6"/>
    <w:rsid w:val="004A5FA2"/>
    <w:rsid w:val="004E28C4"/>
    <w:rsid w:val="004F0E9F"/>
    <w:rsid w:val="00502A54"/>
    <w:rsid w:val="00526156"/>
    <w:rsid w:val="0054212D"/>
    <w:rsid w:val="0056068D"/>
    <w:rsid w:val="00590AF5"/>
    <w:rsid w:val="00595A49"/>
    <w:rsid w:val="005A4993"/>
    <w:rsid w:val="005A52A1"/>
    <w:rsid w:val="005A7E76"/>
    <w:rsid w:val="005E7351"/>
    <w:rsid w:val="005F0A51"/>
    <w:rsid w:val="005F7460"/>
    <w:rsid w:val="0061368B"/>
    <w:rsid w:val="00620786"/>
    <w:rsid w:val="00653D12"/>
    <w:rsid w:val="006F1E88"/>
    <w:rsid w:val="006F38FB"/>
    <w:rsid w:val="00720240"/>
    <w:rsid w:val="00734CA1"/>
    <w:rsid w:val="00735AE6"/>
    <w:rsid w:val="007861CF"/>
    <w:rsid w:val="007A3706"/>
    <w:rsid w:val="007A5F2A"/>
    <w:rsid w:val="008075F2"/>
    <w:rsid w:val="00826D20"/>
    <w:rsid w:val="00827E68"/>
    <w:rsid w:val="00836A11"/>
    <w:rsid w:val="008529B4"/>
    <w:rsid w:val="00854FED"/>
    <w:rsid w:val="008553E0"/>
    <w:rsid w:val="00874DDA"/>
    <w:rsid w:val="0088219A"/>
    <w:rsid w:val="008A1EAB"/>
    <w:rsid w:val="008C0600"/>
    <w:rsid w:val="008C2872"/>
    <w:rsid w:val="008E3CF2"/>
    <w:rsid w:val="00923CCF"/>
    <w:rsid w:val="00974D41"/>
    <w:rsid w:val="009B6146"/>
    <w:rsid w:val="009C5ED1"/>
    <w:rsid w:val="009D6E60"/>
    <w:rsid w:val="009F5D4D"/>
    <w:rsid w:val="00A04936"/>
    <w:rsid w:val="00A30022"/>
    <w:rsid w:val="00A43864"/>
    <w:rsid w:val="00A564A3"/>
    <w:rsid w:val="00A81759"/>
    <w:rsid w:val="00A86E90"/>
    <w:rsid w:val="00A957D7"/>
    <w:rsid w:val="00A9F81A"/>
    <w:rsid w:val="00AB4CA2"/>
    <w:rsid w:val="00B22A4E"/>
    <w:rsid w:val="00B42BF7"/>
    <w:rsid w:val="00BA74D4"/>
    <w:rsid w:val="00BE0A9A"/>
    <w:rsid w:val="00BE1AB1"/>
    <w:rsid w:val="00BE727D"/>
    <w:rsid w:val="00BF4B54"/>
    <w:rsid w:val="00C00CEE"/>
    <w:rsid w:val="00C36EBD"/>
    <w:rsid w:val="00C56DEA"/>
    <w:rsid w:val="00C93499"/>
    <w:rsid w:val="00CD5C2A"/>
    <w:rsid w:val="00D2220A"/>
    <w:rsid w:val="00D519C7"/>
    <w:rsid w:val="00D523EC"/>
    <w:rsid w:val="00D8749F"/>
    <w:rsid w:val="00DA0267"/>
    <w:rsid w:val="00DD7C91"/>
    <w:rsid w:val="00DF5DFD"/>
    <w:rsid w:val="00E368D4"/>
    <w:rsid w:val="00E4286D"/>
    <w:rsid w:val="00E57BA1"/>
    <w:rsid w:val="00E61991"/>
    <w:rsid w:val="00E6541F"/>
    <w:rsid w:val="00E74754"/>
    <w:rsid w:val="00E74F01"/>
    <w:rsid w:val="00E870B6"/>
    <w:rsid w:val="00EA0478"/>
    <w:rsid w:val="00EB2951"/>
    <w:rsid w:val="00EE50BE"/>
    <w:rsid w:val="00F1E64A"/>
    <w:rsid w:val="00F30D51"/>
    <w:rsid w:val="00F43333"/>
    <w:rsid w:val="00F4769D"/>
    <w:rsid w:val="00F66B4D"/>
    <w:rsid w:val="00F87600"/>
    <w:rsid w:val="00FA13AC"/>
    <w:rsid w:val="00FA78CE"/>
    <w:rsid w:val="01EC9526"/>
    <w:rsid w:val="02F29D3C"/>
    <w:rsid w:val="04B8B245"/>
    <w:rsid w:val="05836297"/>
    <w:rsid w:val="06317918"/>
    <w:rsid w:val="07B2E57D"/>
    <w:rsid w:val="08B9AF37"/>
    <w:rsid w:val="09BB06C6"/>
    <w:rsid w:val="0A0B2C4A"/>
    <w:rsid w:val="0A2E748E"/>
    <w:rsid w:val="0AC9AA6E"/>
    <w:rsid w:val="0BEA868B"/>
    <w:rsid w:val="0BF802AC"/>
    <w:rsid w:val="0C9EB80E"/>
    <w:rsid w:val="0EC0043E"/>
    <w:rsid w:val="0F5B55A0"/>
    <w:rsid w:val="0F5BC0E0"/>
    <w:rsid w:val="0F6F9CF1"/>
    <w:rsid w:val="10084919"/>
    <w:rsid w:val="10361BA5"/>
    <w:rsid w:val="1053395B"/>
    <w:rsid w:val="108C21FF"/>
    <w:rsid w:val="13184877"/>
    <w:rsid w:val="133752B3"/>
    <w:rsid w:val="13430900"/>
    <w:rsid w:val="142111DE"/>
    <w:rsid w:val="152B28FE"/>
    <w:rsid w:val="1559E234"/>
    <w:rsid w:val="15A4A268"/>
    <w:rsid w:val="16743AFF"/>
    <w:rsid w:val="16A295B1"/>
    <w:rsid w:val="17A2B57F"/>
    <w:rsid w:val="18AED577"/>
    <w:rsid w:val="191C18C1"/>
    <w:rsid w:val="196EDD11"/>
    <w:rsid w:val="1B7714A3"/>
    <w:rsid w:val="1B7F010C"/>
    <w:rsid w:val="1E421581"/>
    <w:rsid w:val="1EF80573"/>
    <w:rsid w:val="1F03C55D"/>
    <w:rsid w:val="1FC36D0B"/>
    <w:rsid w:val="2065D833"/>
    <w:rsid w:val="21116F89"/>
    <w:rsid w:val="2240DEDD"/>
    <w:rsid w:val="22F72F06"/>
    <w:rsid w:val="254C0359"/>
    <w:rsid w:val="260F360D"/>
    <w:rsid w:val="2793AEBE"/>
    <w:rsid w:val="28278463"/>
    <w:rsid w:val="2A69570E"/>
    <w:rsid w:val="2B28F2C7"/>
    <w:rsid w:val="2DC31396"/>
    <w:rsid w:val="315A03A8"/>
    <w:rsid w:val="31606931"/>
    <w:rsid w:val="319FBC54"/>
    <w:rsid w:val="31A3606F"/>
    <w:rsid w:val="338269D0"/>
    <w:rsid w:val="339854CE"/>
    <w:rsid w:val="34D4479B"/>
    <w:rsid w:val="35830492"/>
    <w:rsid w:val="3606AF73"/>
    <w:rsid w:val="3673E4C9"/>
    <w:rsid w:val="3678A18C"/>
    <w:rsid w:val="3891FEAA"/>
    <w:rsid w:val="3B15BD7A"/>
    <w:rsid w:val="3B3A204D"/>
    <w:rsid w:val="3FB65F66"/>
    <w:rsid w:val="410EB529"/>
    <w:rsid w:val="41820C01"/>
    <w:rsid w:val="420F1F96"/>
    <w:rsid w:val="430D2D7E"/>
    <w:rsid w:val="436E4858"/>
    <w:rsid w:val="446080C6"/>
    <w:rsid w:val="46A59269"/>
    <w:rsid w:val="471E1E84"/>
    <w:rsid w:val="4892F527"/>
    <w:rsid w:val="48DA696A"/>
    <w:rsid w:val="48E1F397"/>
    <w:rsid w:val="4AAD3D25"/>
    <w:rsid w:val="4B94018A"/>
    <w:rsid w:val="4C18451E"/>
    <w:rsid w:val="4D3C1911"/>
    <w:rsid w:val="4D62C377"/>
    <w:rsid w:val="4D91EF62"/>
    <w:rsid w:val="4DC38BA6"/>
    <w:rsid w:val="4EEB9911"/>
    <w:rsid w:val="505C0A7A"/>
    <w:rsid w:val="50D26E1B"/>
    <w:rsid w:val="51ECCA91"/>
    <w:rsid w:val="539A44F8"/>
    <w:rsid w:val="5455A1DA"/>
    <w:rsid w:val="54EF61D0"/>
    <w:rsid w:val="556F9C44"/>
    <w:rsid w:val="55EE2058"/>
    <w:rsid w:val="581B4DE6"/>
    <w:rsid w:val="584DEAFD"/>
    <w:rsid w:val="58518BD5"/>
    <w:rsid w:val="58A2352A"/>
    <w:rsid w:val="592F02D1"/>
    <w:rsid w:val="598FF180"/>
    <w:rsid w:val="59CB3BCE"/>
    <w:rsid w:val="5ADFDB5D"/>
    <w:rsid w:val="5AFE0319"/>
    <w:rsid w:val="5B4B5DE9"/>
    <w:rsid w:val="5BD0D445"/>
    <w:rsid w:val="60344D49"/>
    <w:rsid w:val="619E8062"/>
    <w:rsid w:val="634DCB33"/>
    <w:rsid w:val="64017190"/>
    <w:rsid w:val="643B3B1B"/>
    <w:rsid w:val="658D7077"/>
    <w:rsid w:val="6766C963"/>
    <w:rsid w:val="67961E1F"/>
    <w:rsid w:val="68FABCDF"/>
    <w:rsid w:val="69F14E3E"/>
    <w:rsid w:val="6A1A32E8"/>
    <w:rsid w:val="6AB2C37B"/>
    <w:rsid w:val="6AECC592"/>
    <w:rsid w:val="6D535ECB"/>
    <w:rsid w:val="6D897E53"/>
    <w:rsid w:val="6FAE0FE1"/>
    <w:rsid w:val="6FE470CC"/>
    <w:rsid w:val="6FEFE978"/>
    <w:rsid w:val="7193ACE3"/>
    <w:rsid w:val="72A7B6A2"/>
    <w:rsid w:val="731B3A2F"/>
    <w:rsid w:val="73437757"/>
    <w:rsid w:val="73A61824"/>
    <w:rsid w:val="73EBF761"/>
    <w:rsid w:val="761BA80D"/>
    <w:rsid w:val="781871D3"/>
    <w:rsid w:val="781D4A63"/>
    <w:rsid w:val="786B82DC"/>
    <w:rsid w:val="789F3D1E"/>
    <w:rsid w:val="7B09ECF6"/>
    <w:rsid w:val="7ED263C9"/>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D8BE"/>
  <w15:chartTrackingRefBased/>
  <w15:docId w15:val="{35A6BF8C-76BF-4E9E-ACD0-0397F09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TW"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FA13AC"/>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72"/>
    <w:pPr>
      <w:ind w:left="720"/>
      <w:contextualSpacing/>
    </w:pPr>
  </w:style>
  <w:style w:type="paragraph" w:styleId="CommentText">
    <w:name w:val="annotation text"/>
    <w:basedOn w:val="Normal"/>
    <w:link w:val="CommentTextChar"/>
    <w:uiPriority w:val="99"/>
    <w:unhideWhenUsed/>
    <w:pPr>
      <w:spacing w:line="240" w:lineRule="auto"/>
    </w:pPr>
    <w:rPr>
      <w:sz w:val="20"/>
      <w:szCs w:val="25"/>
    </w:rPr>
  </w:style>
  <w:style w:type="character" w:customStyle="1" w:styleId="CommentTextChar">
    <w:name w:val="Comment Text Char"/>
    <w:basedOn w:val="DefaultParagraphFont"/>
    <w:link w:val="CommentText"/>
    <w:uiPriority w:val="99"/>
    <w:rPr>
      <w:rFonts w:cs="Vrinda"/>
      <w:sz w:val="20"/>
      <w:szCs w:val="25"/>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4D41"/>
    <w:pPr>
      <w:spacing w:after="0" w:line="240" w:lineRule="auto"/>
    </w:pPr>
    <w:rPr>
      <w:rFonts w:cs="Vrinda"/>
    </w:rPr>
  </w:style>
  <w:style w:type="paragraph" w:styleId="CommentSubject">
    <w:name w:val="annotation subject"/>
    <w:basedOn w:val="CommentText"/>
    <w:next w:val="CommentText"/>
    <w:link w:val="CommentSubjectChar"/>
    <w:uiPriority w:val="99"/>
    <w:semiHidden/>
    <w:unhideWhenUsed/>
    <w:rsid w:val="002F63FB"/>
    <w:rPr>
      <w:b/>
      <w:bCs/>
    </w:rPr>
  </w:style>
  <w:style w:type="character" w:customStyle="1" w:styleId="CommentSubjectChar">
    <w:name w:val="Comment Subject Char"/>
    <w:basedOn w:val="CommentTextChar"/>
    <w:link w:val="CommentSubject"/>
    <w:uiPriority w:val="99"/>
    <w:semiHidden/>
    <w:rsid w:val="002F63FB"/>
    <w:rPr>
      <w:rFonts w:cs="Vrinda"/>
      <w:b/>
      <w:bCs/>
      <w:sz w:val="20"/>
      <w:szCs w:val="25"/>
    </w:rPr>
  </w:style>
  <w:style w:type="paragraph" w:styleId="Header">
    <w:name w:val="header"/>
    <w:basedOn w:val="Normal"/>
    <w:link w:val="HeaderChar"/>
    <w:uiPriority w:val="99"/>
    <w:unhideWhenUsed/>
    <w:rsid w:val="00272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B7"/>
    <w:rPr>
      <w:rFonts w:cs="Vrinda"/>
    </w:rPr>
  </w:style>
  <w:style w:type="paragraph" w:styleId="Footer">
    <w:name w:val="footer"/>
    <w:basedOn w:val="Normal"/>
    <w:link w:val="FooterChar"/>
    <w:uiPriority w:val="99"/>
    <w:unhideWhenUsed/>
    <w:rsid w:val="00272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B7"/>
    <w:rPr>
      <w:rFonts w:cs="Vrinda"/>
    </w:rPr>
  </w:style>
  <w:style w:type="character" w:customStyle="1" w:styleId="Heading1Char">
    <w:name w:val="Heading 1 Char"/>
    <w:basedOn w:val="DefaultParagraphFont"/>
    <w:link w:val="Heading1"/>
    <w:uiPriority w:val="9"/>
    <w:rsid w:val="00FA13AC"/>
    <w:rPr>
      <w:rFonts w:asciiTheme="majorHAnsi" w:eastAsiaTheme="majorEastAsia" w:hAnsiTheme="majorHAnsi" w:cstheme="majorBidi"/>
      <w:color w:val="2F5496" w:themeColor="accent1" w:themeShade="BF"/>
      <w:sz w:val="32"/>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B4CA2"/>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AB4CA2"/>
    <w:rPr>
      <w:rFonts w:cs="Vrinda"/>
      <w:sz w:val="20"/>
      <w:szCs w:val="25"/>
    </w:rPr>
  </w:style>
  <w:style w:type="character" w:styleId="FootnoteReference">
    <w:name w:val="footnote reference"/>
    <w:basedOn w:val="DefaultParagraphFont"/>
    <w:uiPriority w:val="99"/>
    <w:semiHidden/>
    <w:unhideWhenUsed/>
    <w:rsid w:val="00AB4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1808">
      <w:bodyDiv w:val="1"/>
      <w:marLeft w:val="0"/>
      <w:marRight w:val="0"/>
      <w:marTop w:val="0"/>
      <w:marBottom w:val="0"/>
      <w:divBdr>
        <w:top w:val="none" w:sz="0" w:space="0" w:color="auto"/>
        <w:left w:val="none" w:sz="0" w:space="0" w:color="auto"/>
        <w:bottom w:val="none" w:sz="0" w:space="0" w:color="auto"/>
        <w:right w:val="none" w:sz="0" w:space="0" w:color="auto"/>
      </w:divBdr>
      <w:divsChild>
        <w:div w:id="1207910227">
          <w:marLeft w:val="0"/>
          <w:marRight w:val="0"/>
          <w:marTop w:val="0"/>
          <w:marBottom w:val="0"/>
          <w:divBdr>
            <w:top w:val="none" w:sz="0" w:space="0" w:color="auto"/>
            <w:left w:val="none" w:sz="0" w:space="0" w:color="auto"/>
            <w:bottom w:val="none" w:sz="0" w:space="0" w:color="auto"/>
            <w:right w:val="none" w:sz="0" w:space="0" w:color="auto"/>
          </w:divBdr>
        </w:div>
        <w:div w:id="1719890749">
          <w:marLeft w:val="0"/>
          <w:marRight w:val="0"/>
          <w:marTop w:val="0"/>
          <w:marBottom w:val="0"/>
          <w:divBdr>
            <w:top w:val="none" w:sz="0" w:space="0" w:color="auto"/>
            <w:left w:val="none" w:sz="0" w:space="0" w:color="auto"/>
            <w:bottom w:val="none" w:sz="0" w:space="0" w:color="auto"/>
            <w:right w:val="none" w:sz="0" w:space="0" w:color="auto"/>
          </w:divBdr>
        </w:div>
      </w:divsChild>
    </w:div>
    <w:div w:id="15903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096736-f358-4fe5-a149-19022cfc0a18" xsi:nil="true"/>
    <lcf76f155ced4ddcb4097134ff3c332f xmlns="ada2a3d7-7eda-4fba-a762-5379d715e6ad">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3FA496F67254D96A70EB452B5519D" ma:contentTypeVersion="20" ma:contentTypeDescription="Create a new document." ma:contentTypeScope="" ma:versionID="a07c5a6efdc06025595a6b4cef243afa">
  <xsd:schema xmlns:xsd="http://www.w3.org/2001/XMLSchema" xmlns:xs="http://www.w3.org/2001/XMLSchema" xmlns:p="http://schemas.microsoft.com/office/2006/metadata/properties" xmlns:ns1="http://schemas.microsoft.com/sharepoint/v3" xmlns:ns2="ada2a3d7-7eda-4fba-a762-5379d715e6ad" xmlns:ns3="71096736-f358-4fe5-a149-19022cfc0a18" targetNamespace="http://schemas.microsoft.com/office/2006/metadata/properties" ma:root="true" ma:fieldsID="a53ac075d71b311aa1ddd7da42c31218" ns1:_="" ns2:_="" ns3:_="">
    <xsd:import namespace="http://schemas.microsoft.com/sharepoint/v3"/>
    <xsd:import namespace="ada2a3d7-7eda-4fba-a762-5379d715e6ad"/>
    <xsd:import namespace="71096736-f358-4fe5-a149-19022cfc0a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2a3d7-7eda-4fba-a762-5379d715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b06df0-9a10-4f13-b01c-4547ef3a4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96736-f358-4fe5-a149-19022cfc0a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558b5b0-9b77-4630-8d4d-5a5dd66bbf5f}" ma:internalName="TaxCatchAll" ma:showField="CatchAllData" ma:web="71096736-f358-4fe5-a149-19022cfc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93A7-5D2A-4D0E-B9A8-462C51001B48}">
  <ds:schemaRefs>
    <ds:schemaRef ds:uri="http://schemas.microsoft.com/office/2006/metadata/properties"/>
    <ds:schemaRef ds:uri="http://schemas.microsoft.com/office/infopath/2007/PartnerControls"/>
    <ds:schemaRef ds:uri="http://schemas.microsoft.com/sharepoint/v3"/>
    <ds:schemaRef ds:uri="71096736-f358-4fe5-a149-19022cfc0a18"/>
    <ds:schemaRef ds:uri="ada2a3d7-7eda-4fba-a762-5379d715e6ad"/>
  </ds:schemaRefs>
</ds:datastoreItem>
</file>

<file path=customXml/itemProps2.xml><?xml version="1.0" encoding="utf-8"?>
<ds:datastoreItem xmlns:ds="http://schemas.openxmlformats.org/officeDocument/2006/customXml" ds:itemID="{4EF8DA55-E792-46A4-A809-6E466993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a2a3d7-7eda-4fba-a762-5379d715e6ad"/>
    <ds:schemaRef ds:uri="71096736-f358-4fe5-a149-19022cfc0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40B7F-5682-4B67-B484-0B2F42442746}">
  <ds:schemaRefs>
    <ds:schemaRef ds:uri="http://schemas.microsoft.com/sharepoint/v3/contenttype/forms"/>
  </ds:schemaRefs>
</ds:datastoreItem>
</file>

<file path=customXml/itemProps4.xml><?xml version="1.0" encoding="utf-8"?>
<ds:datastoreItem xmlns:ds="http://schemas.openxmlformats.org/officeDocument/2006/customXml" ds:itemID="{139FF082-85D5-4401-BE13-B3EA7D95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Mulama</dc:creator>
  <cp:keywords/>
  <dc:description/>
  <cp:lastModifiedBy>Sangeetha Sarma</cp:lastModifiedBy>
  <cp:revision>3</cp:revision>
  <dcterms:created xsi:type="dcterms:W3CDTF">2025-03-04T15:48:00Z</dcterms:created>
  <dcterms:modified xsi:type="dcterms:W3CDTF">2025-03-04T15:48:00Z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0x01010089F3FA496F67254D96A70EB452B5519D</vt:lpwstr>
  </property>
  <property fmtid="{D5CDD505-2E9C-101B-9397-08002B2CF9AE}" pid="3" name="MediaServiceImageTags">
    <vt:lpwstr/>
  </property>
</Properties>
</file>